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529EF" w14:textId="6479D4E9" w:rsidR="00EB4CB5" w:rsidRPr="006B42B9" w:rsidRDefault="00EB4CB5" w:rsidP="00EB4CB5">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003B675E">
        <w:rPr>
          <w:rFonts w:ascii="Arial" w:hAnsi="Arial"/>
          <w:b/>
          <w:noProof/>
          <w:sz w:val="24"/>
        </w:rPr>
        <w:t>102-e</w:t>
      </w:r>
      <w:r w:rsidRPr="006B42B9">
        <w:rPr>
          <w:rFonts w:ascii="Arial" w:hAnsi="Arial"/>
          <w:b/>
          <w:i/>
          <w:noProof/>
          <w:sz w:val="28"/>
        </w:rPr>
        <w:tab/>
        <w:t>R4-</w:t>
      </w:r>
      <w:r w:rsidRPr="00063741">
        <w:rPr>
          <w:rFonts w:ascii="Arial" w:hAnsi="Arial"/>
          <w:b/>
          <w:i/>
          <w:noProof/>
          <w:sz w:val="28"/>
        </w:rPr>
        <w:t>220</w:t>
      </w:r>
      <w:r w:rsidR="00063741">
        <w:rPr>
          <w:rFonts w:ascii="Arial" w:hAnsi="Arial"/>
          <w:b/>
          <w:i/>
          <w:noProof/>
          <w:sz w:val="28"/>
        </w:rPr>
        <w:t>6044</w:t>
      </w:r>
    </w:p>
    <w:p w14:paraId="7DE68E29" w14:textId="77777777" w:rsidR="00EB4CB5" w:rsidRPr="006B42B9" w:rsidRDefault="00EB4CB5" w:rsidP="00EB4CB5">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Pr>
          <w:rFonts w:ascii="Arial" w:hAnsi="Arial"/>
          <w:b/>
          <w:noProof/>
          <w:sz w:val="24"/>
        </w:rPr>
        <w:t xml:space="preserve">21 February </w:t>
      </w:r>
      <w:r w:rsidRPr="006B42B9">
        <w:rPr>
          <w:rFonts w:ascii="Arial" w:hAnsi="Arial"/>
          <w:b/>
          <w:noProof/>
          <w:sz w:val="24"/>
        </w:rPr>
        <w:t xml:space="preserve">– </w:t>
      </w:r>
      <w:r>
        <w:rPr>
          <w:rFonts w:ascii="Arial" w:hAnsi="Arial"/>
          <w:b/>
          <w:noProof/>
          <w:sz w:val="24"/>
        </w:rPr>
        <w:t>3 March</w:t>
      </w:r>
      <w:r w:rsidRPr="006B42B9">
        <w:rPr>
          <w:rFonts w:ascii="Arial" w:hAnsi="Arial"/>
          <w:b/>
          <w:noProof/>
          <w:sz w:val="24"/>
        </w:rPr>
        <w:t xml:space="preserve"> 202</w:t>
      </w:r>
      <w:r>
        <w:rPr>
          <w:rFonts w:ascii="Arial" w:hAnsi="Arial"/>
          <w:b/>
          <w:noProof/>
          <w:sz w:val="24"/>
        </w:rPr>
        <w:t>2</w:t>
      </w:r>
    </w:p>
    <w:p w14:paraId="10E8C105" w14:textId="77777777" w:rsidR="00EB4CB5" w:rsidRDefault="00EB4CB5" w:rsidP="00EB4CB5">
      <w:pPr>
        <w:spacing w:after="120"/>
        <w:rPr>
          <w:rFonts w:ascii="Arial" w:hAnsi="Arial" w:cs="Arial"/>
          <w:b/>
          <w:lang w:val="en-US"/>
        </w:rPr>
      </w:pPr>
    </w:p>
    <w:p w14:paraId="4C4195B0" w14:textId="77777777" w:rsidR="00EB4CB5" w:rsidRPr="00A51BCB" w:rsidRDefault="00EB4CB5" w:rsidP="00EB4CB5">
      <w:pPr>
        <w:spacing w:after="120"/>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0B18559C" w14:textId="77777777" w:rsidR="00EB4CB5" w:rsidRPr="00E02C7F" w:rsidRDefault="00EB4CB5" w:rsidP="00EB4CB5">
      <w:pPr>
        <w:spacing w:after="120"/>
        <w:rPr>
          <w:rFonts w:ascii="Arial" w:hAnsi="Arial" w:cs="Arial"/>
          <w:sz w:val="22"/>
        </w:rPr>
      </w:pPr>
      <w:r w:rsidRPr="00A51BCB">
        <w:rPr>
          <w:rFonts w:ascii="Arial" w:hAnsi="Arial" w:cs="Arial"/>
          <w:b/>
          <w:lang w:val="en-US"/>
        </w:rPr>
        <w:t>Title:</w:t>
      </w:r>
      <w:r w:rsidRPr="00A51BCB">
        <w:rPr>
          <w:rFonts w:ascii="Arial" w:hAnsi="Arial" w:cs="Arial"/>
          <w:b/>
          <w:lang w:val="en-US"/>
        </w:rPr>
        <w:tab/>
      </w:r>
      <w:r>
        <w:rPr>
          <w:rFonts w:ascii="Arial" w:hAnsi="Arial" w:cs="Arial"/>
          <w:b/>
          <w:lang w:val="en-US"/>
        </w:rPr>
        <w:t>Discussion on timing error for eIAB</w:t>
      </w:r>
    </w:p>
    <w:p w14:paraId="3F98FEE3" w14:textId="53E7F126" w:rsidR="00EB4CB5" w:rsidRPr="00A0242A" w:rsidRDefault="00EB4CB5" w:rsidP="00EB4CB5">
      <w:pPr>
        <w:spacing w:after="120"/>
        <w:rPr>
          <w:rFonts w:ascii="Arial" w:hAnsi="Arial" w:cs="Arial"/>
          <w:lang w:val="en-US"/>
        </w:rPr>
      </w:pPr>
      <w:r w:rsidRPr="291B0395">
        <w:rPr>
          <w:rFonts w:ascii="Arial" w:hAnsi="Arial" w:cs="Arial"/>
          <w:b/>
          <w:bCs/>
          <w:lang w:val="en-US"/>
        </w:rPr>
        <w:t>Agenda item:</w:t>
      </w:r>
      <w:r>
        <w:tab/>
      </w:r>
      <w:r w:rsidR="00046DB6">
        <w:rPr>
          <w:rFonts w:ascii="Arial" w:hAnsi="Arial" w:cs="Arial"/>
          <w:lang w:val="en-US"/>
        </w:rPr>
        <w:t>10.17.2.2</w:t>
      </w:r>
    </w:p>
    <w:p w14:paraId="6B7733A9" w14:textId="77777777" w:rsidR="00EB4CB5" w:rsidRPr="000978EB" w:rsidRDefault="00EB4CB5" w:rsidP="00EB4CB5">
      <w:pPr>
        <w:spacing w:after="120"/>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5705DB7F" w14:textId="77777777" w:rsidR="00904C26" w:rsidRDefault="00904C26" w:rsidP="00904C26">
      <w:pPr>
        <w:rPr>
          <w:lang w:val="en-US"/>
        </w:rPr>
      </w:pPr>
    </w:p>
    <w:p w14:paraId="16C26FC8" w14:textId="63C083F4" w:rsidR="00904C26" w:rsidRPr="0024109C" w:rsidRDefault="0024109C" w:rsidP="00CA76A6">
      <w:pPr>
        <w:pStyle w:val="Heading1"/>
        <w:keepLines/>
        <w:pBdr>
          <w:top w:val="single" w:sz="12" w:space="3" w:color="auto"/>
        </w:pBdr>
        <w:tabs>
          <w:tab w:val="clear" w:pos="851"/>
        </w:tabs>
        <w:overflowPunct w:val="0"/>
        <w:spacing w:before="240" w:after="180"/>
        <w:ind w:left="360" w:hanging="360"/>
        <w:jc w:val="left"/>
        <w:textAlignment w:val="baseline"/>
        <w:rPr>
          <w:rStyle w:val="Heading1Char"/>
          <w:color w:val="auto"/>
        </w:rPr>
      </w:pPr>
      <w:r>
        <w:rPr>
          <w:rStyle w:val="Heading1Char"/>
          <w:color w:val="auto"/>
        </w:rPr>
        <w:t xml:space="preserve">1 </w:t>
      </w:r>
      <w:r w:rsidR="00904C26" w:rsidRPr="0024109C">
        <w:rPr>
          <w:rStyle w:val="Heading1Char"/>
          <w:color w:val="auto"/>
        </w:rPr>
        <w:t>Introduction</w:t>
      </w:r>
    </w:p>
    <w:p w14:paraId="3C46FA90" w14:textId="77777777" w:rsidR="00B8318B" w:rsidRPr="00F50CA4" w:rsidRDefault="00B8318B" w:rsidP="00B8318B">
      <w:pPr>
        <w:tabs>
          <w:tab w:val="left" w:pos="7935"/>
        </w:tabs>
        <w:rPr>
          <w:lang w:val="en-US"/>
        </w:rPr>
      </w:pPr>
      <w:r>
        <w:rPr>
          <w:rFonts w:eastAsia="Batang"/>
          <w:lang w:eastAsia="ko-KR"/>
        </w:rPr>
        <w:t>RAN4#101</w:t>
      </w:r>
      <w:r w:rsidR="00EB4CB5">
        <w:rPr>
          <w:rFonts w:eastAsia="Batang"/>
          <w:lang w:eastAsia="ko-KR"/>
        </w:rPr>
        <w:t>bis</w:t>
      </w:r>
      <w:r>
        <w:rPr>
          <w:rFonts w:eastAsia="Batang"/>
          <w:lang w:eastAsia="ko-KR"/>
        </w:rPr>
        <w:t xml:space="preserve">-e meeting continued discussion on new requirements for Rel-17 eIAB due to new different IAB timing cases supported compare to Rel-16. In this contribution we continue discussion of IAB timing error between IAB-DU and IAB-MT. </w:t>
      </w:r>
    </w:p>
    <w:p w14:paraId="0A0734EA" w14:textId="33810CCA" w:rsidR="00904C26" w:rsidRPr="00CA76A6" w:rsidRDefault="0024109C" w:rsidP="00CA76A6">
      <w:pPr>
        <w:pStyle w:val="Heading1"/>
        <w:keepLines/>
        <w:pBdr>
          <w:top w:val="single" w:sz="12" w:space="3" w:color="auto"/>
        </w:pBdr>
        <w:tabs>
          <w:tab w:val="clear" w:pos="851"/>
        </w:tabs>
        <w:overflowPunct w:val="0"/>
        <w:spacing w:before="240" w:after="180"/>
        <w:ind w:left="360" w:hanging="360"/>
        <w:jc w:val="left"/>
        <w:textAlignment w:val="baseline"/>
        <w:rPr>
          <w:rStyle w:val="Heading1Char"/>
          <w:color w:val="auto"/>
        </w:rPr>
      </w:pPr>
      <w:r>
        <w:rPr>
          <w:rStyle w:val="Heading1Char"/>
          <w:color w:val="auto"/>
        </w:rPr>
        <w:t>2</w:t>
      </w:r>
      <w:r w:rsidR="00CA76A6">
        <w:rPr>
          <w:rStyle w:val="Heading1Char"/>
          <w:color w:val="auto"/>
        </w:rPr>
        <w:t xml:space="preserve"> </w:t>
      </w:r>
      <w:r w:rsidR="007F6156" w:rsidRPr="00CA76A6">
        <w:rPr>
          <w:rStyle w:val="Heading1Char"/>
          <w:color w:val="auto"/>
        </w:rPr>
        <w:t>Discussion</w:t>
      </w:r>
    </w:p>
    <w:p w14:paraId="5185BD3D" w14:textId="77777777" w:rsidR="00B8318B" w:rsidRPr="002B51FC" w:rsidRDefault="00B8318B" w:rsidP="00B8318B">
      <w:pPr>
        <w:tabs>
          <w:tab w:val="left" w:pos="7935"/>
        </w:tabs>
        <w:rPr>
          <w:rFonts w:eastAsia="Batang"/>
          <w:lang w:eastAsia="ko-KR"/>
        </w:rPr>
      </w:pPr>
      <w:r>
        <w:rPr>
          <w:rFonts w:eastAsia="Batang"/>
          <w:lang w:eastAsia="ko-KR"/>
        </w:rPr>
        <w:t>During RAN4#101</w:t>
      </w:r>
      <w:r w:rsidR="00EB4CB5">
        <w:rPr>
          <w:rFonts w:eastAsia="Batang"/>
          <w:lang w:eastAsia="ko-KR"/>
        </w:rPr>
        <w:t>bis</w:t>
      </w:r>
      <w:r>
        <w:rPr>
          <w:rFonts w:eastAsia="Batang"/>
          <w:lang w:eastAsia="ko-KR"/>
        </w:rPr>
        <w:t xml:space="preserve">-e meeting following WF on </w:t>
      </w:r>
      <w:r w:rsidRPr="00C10B36">
        <w:rPr>
          <w:rFonts w:eastAsia="Batang"/>
          <w:lang w:eastAsia="ko-KR"/>
        </w:rPr>
        <w:t>timing case#6</w:t>
      </w:r>
      <w:r>
        <w:rPr>
          <w:rFonts w:eastAsia="Batang"/>
          <w:lang w:eastAsia="ko-KR"/>
        </w:rPr>
        <w:t xml:space="preserve"> was agreed in [</w:t>
      </w:r>
      <w:r w:rsidR="00984BFC">
        <w:rPr>
          <w:rFonts w:eastAsia="Batang"/>
          <w:lang w:eastAsia="ko-KR"/>
        </w:rPr>
        <w:t>1</w:t>
      </w:r>
      <w:r>
        <w:rPr>
          <w:rFonts w:eastAsia="Batang"/>
          <w:lang w:eastAsia="ko-KR"/>
        </w:rPr>
        <w:t>]. Following are agreements on timing case#6:</w:t>
      </w:r>
    </w:p>
    <w:p w14:paraId="12B9AAE6" w14:textId="77777777" w:rsidR="00EB4CB5" w:rsidRPr="005D3037" w:rsidRDefault="00EB4CB5" w:rsidP="00054694">
      <w:pPr>
        <w:ind w:left="284"/>
        <w:rPr>
          <w:b/>
          <w:u w:val="single"/>
          <w:lang w:eastAsia="ko-KR"/>
        </w:rPr>
      </w:pPr>
      <w:r w:rsidRPr="005D3037">
        <w:rPr>
          <w:b/>
          <w:u w:val="single"/>
          <w:lang w:eastAsia="ko-KR"/>
        </w:rPr>
        <w:t>Timing error between intra-node MT TX and DU TX for case#6</w:t>
      </w:r>
    </w:p>
    <w:p w14:paraId="77DDF5F2" w14:textId="77777777" w:rsidR="00EB4CB5" w:rsidRPr="00EB4CB5" w:rsidRDefault="00EB4CB5" w:rsidP="00054694">
      <w:pPr>
        <w:pStyle w:val="ListParagraph"/>
        <w:ind w:left="284"/>
        <w:rPr>
          <w:lang w:eastAsia="zh-CN"/>
        </w:rPr>
      </w:pPr>
      <w:r w:rsidRPr="00EB4CB5">
        <w:rPr>
          <w:lang w:eastAsia="zh-CN"/>
        </w:rPr>
        <w:t>Candidate options:</w:t>
      </w:r>
    </w:p>
    <w:p w14:paraId="19312E31" w14:textId="77777777" w:rsidR="00EB4CB5" w:rsidRPr="00EB4CB5" w:rsidRDefault="00EB4CB5" w:rsidP="00054694">
      <w:pPr>
        <w:pStyle w:val="ListParagraph"/>
        <w:ind w:left="284"/>
        <w:rPr>
          <w:lang w:eastAsia="zh-CN"/>
        </w:rPr>
      </w:pPr>
    </w:p>
    <w:p w14:paraId="0EC5C939" w14:textId="77777777" w:rsidR="00EB4CB5" w:rsidRPr="005D3037" w:rsidRDefault="00EB4CB5" w:rsidP="00054694">
      <w:pPr>
        <w:pStyle w:val="ListParagraph"/>
        <w:overflowPunct/>
        <w:autoSpaceDE/>
        <w:autoSpaceDN/>
        <w:adjustRightInd/>
        <w:ind w:left="284"/>
        <w:textAlignment w:val="auto"/>
        <w:rPr>
          <w:lang w:eastAsia="zh-CN"/>
        </w:rPr>
      </w:pPr>
      <w:r w:rsidRPr="005D3037">
        <w:rPr>
          <w:lang w:eastAsia="zh-CN"/>
        </w:rPr>
        <w:t xml:space="preserve">Option 1: To specify TAE between IAB-MT and IAB-DU in timing case #6 </w:t>
      </w:r>
    </w:p>
    <w:p w14:paraId="54C544C1" w14:textId="77777777" w:rsidR="00EB4CB5" w:rsidRPr="005D3037" w:rsidRDefault="00EB4CB5" w:rsidP="00054694">
      <w:pPr>
        <w:pStyle w:val="ListParagraph"/>
        <w:numPr>
          <w:ilvl w:val="2"/>
          <w:numId w:val="0"/>
        </w:numPr>
        <w:overflowPunct/>
        <w:autoSpaceDE/>
        <w:autoSpaceDN/>
        <w:adjustRightInd/>
        <w:ind w:left="284"/>
        <w:textAlignment w:val="auto"/>
        <w:rPr>
          <w:lang w:eastAsia="zh-CN"/>
        </w:rPr>
      </w:pPr>
      <w:r w:rsidRPr="005D3037">
        <w:rPr>
          <w:lang w:eastAsia="zh-CN"/>
        </w:rPr>
        <w:t>The requirement value is min (3us , 4.69 / (SCS/15 kHz)</w:t>
      </w:r>
      <w:r>
        <w:rPr>
          <w:lang w:eastAsia="zh-CN"/>
        </w:rPr>
        <w:t xml:space="preserve"> </w:t>
      </w:r>
      <w:r w:rsidRPr="005D3037">
        <w:rPr>
          <w:lang w:eastAsia="zh-CN"/>
        </w:rPr>
        <w:t>µs</w:t>
      </w:r>
      <w:r>
        <w:rPr>
          <w:lang w:eastAsia="zh-CN"/>
        </w:rPr>
        <w:t>)</w:t>
      </w:r>
      <w:r w:rsidRPr="005D3037">
        <w:rPr>
          <w:lang w:eastAsia="zh-CN"/>
        </w:rPr>
        <w:t>.</w:t>
      </w:r>
    </w:p>
    <w:p w14:paraId="2EEB9108" w14:textId="77777777" w:rsidR="00EB4CB5" w:rsidRPr="005D3037" w:rsidRDefault="00EB4CB5" w:rsidP="00054694">
      <w:pPr>
        <w:pStyle w:val="ListParagraph"/>
        <w:overflowPunct/>
        <w:autoSpaceDE/>
        <w:autoSpaceDN/>
        <w:adjustRightInd/>
        <w:ind w:left="284"/>
        <w:textAlignment w:val="auto"/>
        <w:rPr>
          <w:lang w:eastAsia="zh-CN"/>
        </w:rPr>
      </w:pPr>
      <w:r w:rsidRPr="005D3037">
        <w:rPr>
          <w:lang w:eastAsia="zh-CN"/>
        </w:rPr>
        <w:t>Option 2: No TAE between IAB-MT and IAB-DU</w:t>
      </w:r>
    </w:p>
    <w:p w14:paraId="1E27AF7C" w14:textId="77777777" w:rsidR="00EB4CB5" w:rsidRPr="00EB4CB5" w:rsidRDefault="00EB4CB5" w:rsidP="00054694">
      <w:pPr>
        <w:pStyle w:val="ListParagraph"/>
        <w:ind w:left="284"/>
        <w:rPr>
          <w:lang w:eastAsia="zh-CN"/>
        </w:rPr>
      </w:pPr>
      <w:r w:rsidRPr="00EB4CB5">
        <w:rPr>
          <w:lang w:eastAsia="zh-CN"/>
        </w:rPr>
        <w:t xml:space="preserve">Agreement: </w:t>
      </w:r>
    </w:p>
    <w:p w14:paraId="7383D7C6" w14:textId="77777777" w:rsidR="00EB4CB5" w:rsidRPr="00EB4CB5" w:rsidRDefault="00EB4CB5" w:rsidP="00054694">
      <w:pPr>
        <w:pStyle w:val="ListParagraph"/>
        <w:ind w:left="284"/>
        <w:rPr>
          <w:lang w:eastAsia="zh-CN"/>
        </w:rPr>
      </w:pPr>
    </w:p>
    <w:p w14:paraId="23F9BBD2" w14:textId="77777777" w:rsidR="00EB4CB5" w:rsidRPr="005D3037" w:rsidRDefault="00EB4CB5" w:rsidP="00054694">
      <w:pPr>
        <w:pStyle w:val="ListParagraph"/>
        <w:overflowPunct/>
        <w:autoSpaceDE/>
        <w:autoSpaceDN/>
        <w:adjustRightInd/>
        <w:ind w:left="284"/>
        <w:textAlignment w:val="auto"/>
        <w:rPr>
          <w:lang w:eastAsia="zh-CN"/>
        </w:rPr>
      </w:pPr>
      <w:r w:rsidRPr="005D3037">
        <w:rPr>
          <w:rFonts w:hint="eastAsia"/>
          <w:lang w:eastAsia="zh-CN"/>
        </w:rPr>
        <w:t xml:space="preserve">RAN4 will make </w:t>
      </w:r>
      <w:r w:rsidRPr="005D3037">
        <w:rPr>
          <w:lang w:eastAsia="zh-CN"/>
        </w:rPr>
        <w:t xml:space="preserve">final </w:t>
      </w:r>
      <w:r w:rsidRPr="005D3037">
        <w:rPr>
          <w:rFonts w:hint="eastAsia"/>
          <w:lang w:eastAsia="zh-CN"/>
        </w:rPr>
        <w:t xml:space="preserve">decision on </w:t>
      </w:r>
      <w:r w:rsidRPr="005D3037">
        <w:rPr>
          <w:lang w:eastAsia="zh-CN"/>
        </w:rPr>
        <w:t>February</w:t>
      </w:r>
      <w:r w:rsidRPr="005D3037">
        <w:rPr>
          <w:rFonts w:hint="eastAsia"/>
          <w:lang w:eastAsia="zh-CN"/>
        </w:rPr>
        <w:t xml:space="preserve"> RAN4 meeting</w:t>
      </w:r>
      <w:r w:rsidRPr="005D3037">
        <w:rPr>
          <w:lang w:eastAsia="zh-CN"/>
        </w:rPr>
        <w:t xml:space="preserve">. </w:t>
      </w:r>
      <w:r w:rsidRPr="005D3037">
        <w:rPr>
          <w:rFonts w:hint="eastAsia"/>
          <w:lang w:eastAsia="zh-CN"/>
        </w:rPr>
        <w:t xml:space="preserve"> </w:t>
      </w:r>
    </w:p>
    <w:p w14:paraId="3EA7288D" w14:textId="77777777" w:rsidR="00EB4CB5" w:rsidRPr="005D3037" w:rsidRDefault="00EB4CB5" w:rsidP="00054694">
      <w:pPr>
        <w:ind w:left="284"/>
        <w:rPr>
          <w:b/>
          <w:u w:val="single"/>
          <w:lang w:eastAsia="ko-KR"/>
        </w:rPr>
      </w:pPr>
      <w:r w:rsidRPr="005D3037">
        <w:rPr>
          <w:b/>
          <w:u w:val="single"/>
          <w:lang w:eastAsia="ko-KR"/>
        </w:rPr>
        <w:t>Timing error between parent IAB DU and Child IAB for case#6</w:t>
      </w:r>
    </w:p>
    <w:p w14:paraId="2DCB8B15" w14:textId="77777777" w:rsidR="00EB4CB5" w:rsidRPr="005D3037" w:rsidRDefault="00EB4CB5" w:rsidP="00054694">
      <w:pPr>
        <w:ind w:left="284"/>
        <w:rPr>
          <w:bCs/>
          <w:lang w:eastAsia="zh-CN"/>
        </w:rPr>
      </w:pPr>
      <w:r w:rsidRPr="005D3037">
        <w:rPr>
          <w:bCs/>
          <w:lang w:eastAsia="zh-CN"/>
        </w:rPr>
        <w:t>Agreement:</w:t>
      </w:r>
    </w:p>
    <w:p w14:paraId="74A360A5" w14:textId="77777777" w:rsidR="00B8318B" w:rsidRPr="00EB4CB5" w:rsidRDefault="00EB4CB5" w:rsidP="00054694">
      <w:pPr>
        <w:pStyle w:val="ListParagraph"/>
        <w:overflowPunct/>
        <w:autoSpaceDE/>
        <w:autoSpaceDN/>
        <w:adjustRightInd/>
        <w:ind w:left="284"/>
        <w:textAlignment w:val="auto"/>
        <w:rPr>
          <w:rFonts w:ascii="Calibri" w:hAnsi="Calibri"/>
          <w:lang w:eastAsia="zh-CN"/>
        </w:rPr>
      </w:pPr>
      <w:r w:rsidRPr="005D3037">
        <w:rPr>
          <w:lang w:eastAsia="zh-CN"/>
        </w:rPr>
        <w:t xml:space="preserve">This is out of RF scope. No specific requirements will be specified from RF requirements aspect. </w:t>
      </w:r>
    </w:p>
    <w:p w14:paraId="3ABF86BD" w14:textId="77777777" w:rsidR="00EB4CB5" w:rsidRPr="00EB4CB5" w:rsidRDefault="00EB4CB5" w:rsidP="00EB4CB5">
      <w:pPr>
        <w:pStyle w:val="ListParagraph"/>
        <w:overflowPunct/>
        <w:autoSpaceDE/>
        <w:autoSpaceDN/>
        <w:adjustRightInd/>
        <w:ind w:left="0"/>
        <w:textAlignment w:val="auto"/>
        <w:rPr>
          <w:rFonts w:ascii="Calibri" w:hAnsi="Calibri"/>
          <w:lang w:eastAsia="zh-CN"/>
        </w:rPr>
      </w:pPr>
    </w:p>
    <w:p w14:paraId="60A0D09B" w14:textId="77777777" w:rsidR="00B8318B" w:rsidRDefault="00B8318B" w:rsidP="00B8318B">
      <w:pPr>
        <w:tabs>
          <w:tab w:val="left" w:pos="7935"/>
        </w:tabs>
        <w:rPr>
          <w:rFonts w:eastAsia="Batang"/>
          <w:lang w:eastAsia="ko-KR"/>
        </w:rPr>
      </w:pPr>
      <w:r w:rsidRPr="00B4271F">
        <w:rPr>
          <w:rFonts w:eastAsia="Batang"/>
          <w:lang w:eastAsia="ko-KR"/>
        </w:rPr>
        <w:t>Time alignment error (TAE) requirements between transmissions are specified for base stations (BSs) for carrier aggregation (CA) and multiple-in-multiple-out (MIMO) operation, e.g. in NR in TS 38.104, and also for user equipment’s (UEs) in case of MIMO transmissions in TS 38.101-1 and 38.101-2. However, the TAE requirements are specified between two simultaneous DL transmissions for BS, and between two simultaneous UL transmissions for UE.</w:t>
      </w:r>
    </w:p>
    <w:p w14:paraId="146FC33F" w14:textId="77777777" w:rsidR="00EB4CB5" w:rsidRDefault="00B8318B" w:rsidP="00B8318B">
      <w:pPr>
        <w:tabs>
          <w:tab w:val="left" w:pos="7935"/>
        </w:tabs>
        <w:rPr>
          <w:rFonts w:eastAsia="Batang"/>
          <w:lang w:eastAsia="ko-KR"/>
        </w:rPr>
      </w:pPr>
      <w:r>
        <w:rPr>
          <w:rFonts w:eastAsia="Batang"/>
          <w:lang w:eastAsia="ko-KR"/>
        </w:rPr>
        <w:t>I</w:t>
      </w:r>
      <w:r w:rsidRPr="00B4271F">
        <w:rPr>
          <w:rFonts w:eastAsia="Batang"/>
          <w:lang w:eastAsia="ko-KR"/>
        </w:rPr>
        <w:t>n timing case #6 IAB-MT transmissions are aligned with IAB-DU transmissions.</w:t>
      </w:r>
      <w:r>
        <w:rPr>
          <w:rFonts w:eastAsia="Batang"/>
          <w:lang w:eastAsia="ko-KR"/>
        </w:rPr>
        <w:t xml:space="preserve"> </w:t>
      </w:r>
      <w:r w:rsidRPr="00B4271F">
        <w:rPr>
          <w:rFonts w:eastAsia="Batang"/>
          <w:lang w:eastAsia="ko-KR"/>
        </w:rPr>
        <w:t>DL transmission time alignment in TDD networks is further specified by cell phase synchronization requirement defined in TS 38.133, the requirement being 3us. The requirement is set to avoid harmful cross-link interference in cases where neighbouring cells would have different UL-DL switch point. Following the same principle, there needs to be an accuracy requirement to align IAB-MT transmission with IAB-DU transmission in timing case #6, as otherwise there is negative impact to co-existence between different nodes operating in the same area.</w:t>
      </w:r>
      <w:r w:rsidR="00EB4CB5">
        <w:rPr>
          <w:rFonts w:eastAsia="Batang"/>
          <w:lang w:eastAsia="ko-KR"/>
        </w:rPr>
        <w:t xml:space="preserve"> With no requirement for TAE, the timing error between IAB-MT and IAB-DU of same IAB-Node will not be limited for case#6 timing and following case#6 timing is not verified.</w:t>
      </w:r>
    </w:p>
    <w:p w14:paraId="1EA201CF" w14:textId="77777777" w:rsidR="00B8318B" w:rsidRPr="00984BFC" w:rsidRDefault="00EB4CB5" w:rsidP="00B8318B">
      <w:pPr>
        <w:tabs>
          <w:tab w:val="left" w:pos="7935"/>
        </w:tabs>
        <w:rPr>
          <w:rFonts w:eastAsia="Batang"/>
          <w:b/>
          <w:bCs/>
          <w:i/>
          <w:iCs/>
          <w:lang w:eastAsia="ko-KR"/>
        </w:rPr>
      </w:pPr>
      <w:r w:rsidRPr="00984BFC">
        <w:rPr>
          <w:rFonts w:eastAsia="Batang"/>
          <w:b/>
          <w:bCs/>
          <w:i/>
          <w:iCs/>
          <w:lang w:eastAsia="ko-KR"/>
        </w:rPr>
        <w:t>Observation</w:t>
      </w:r>
      <w:r w:rsidR="00B8318B" w:rsidRPr="00984BFC">
        <w:rPr>
          <w:rFonts w:eastAsia="Batang"/>
          <w:b/>
          <w:bCs/>
          <w:i/>
          <w:iCs/>
          <w:lang w:eastAsia="ko-KR"/>
        </w:rPr>
        <w:t xml:space="preserve"> </w:t>
      </w:r>
      <w:r w:rsidRPr="00984BFC">
        <w:rPr>
          <w:rFonts w:eastAsia="Batang"/>
          <w:b/>
          <w:bCs/>
          <w:i/>
          <w:iCs/>
          <w:lang w:eastAsia="ko-KR"/>
        </w:rPr>
        <w:t>1: With no TAE requirement for intra-node IAB-MT and IAB-DU Tx there will be no limitation on the timing error in RAN4 specifications and timing case #6 operation will not be verified.</w:t>
      </w:r>
    </w:p>
    <w:p w14:paraId="482C2556" w14:textId="77777777" w:rsidR="00B8318B" w:rsidRDefault="00B8318B" w:rsidP="00B8318B">
      <w:pPr>
        <w:tabs>
          <w:tab w:val="left" w:pos="7935"/>
        </w:tabs>
        <w:rPr>
          <w:rFonts w:eastAsia="Batang"/>
          <w:lang w:eastAsia="ko-KR"/>
        </w:rPr>
      </w:pPr>
      <w:r w:rsidRPr="00B4271F">
        <w:rPr>
          <w:rFonts w:eastAsia="Batang"/>
          <w:lang w:val="en-US" w:eastAsia="ko-KR"/>
        </w:rPr>
        <w:t>The requirement is needed independent of IAB-MT and IAB-DU RF configurations, i.e. whether they use the same antenna array or operate in FDM or SDM mode.</w:t>
      </w:r>
      <w:r>
        <w:rPr>
          <w:rFonts w:eastAsia="Batang"/>
          <w:lang w:val="en-US" w:eastAsia="ko-KR"/>
        </w:rPr>
        <w:t xml:space="preserve"> </w:t>
      </w:r>
      <w:r w:rsidRPr="00B4271F">
        <w:rPr>
          <w:rFonts w:eastAsia="Batang"/>
          <w:lang w:eastAsia="ko-KR"/>
        </w:rPr>
        <w:t xml:space="preserve">All these aspects should be considered in the IAB Rel-17 new timing </w:t>
      </w:r>
      <w:r w:rsidRPr="00B4271F">
        <w:rPr>
          <w:rFonts w:eastAsia="Batang"/>
          <w:lang w:eastAsia="ko-KR"/>
        </w:rPr>
        <w:lastRenderedPageBreak/>
        <w:t>error requirements and test methodology to ensure IAB which pass the conformance testing will provide satisfactory performance in real-life deployment.</w:t>
      </w:r>
      <w:r w:rsidR="00EB4CB5">
        <w:rPr>
          <w:rFonts w:eastAsia="Batang"/>
          <w:lang w:eastAsia="ko-KR"/>
        </w:rPr>
        <w:t xml:space="preserve"> Performance details can be further discussed</w:t>
      </w:r>
      <w:r w:rsidR="00A66F15">
        <w:rPr>
          <w:rFonts w:eastAsia="Batang"/>
          <w:lang w:eastAsia="ko-KR"/>
        </w:rPr>
        <w:t xml:space="preserve"> in conformance part of work item</w:t>
      </w:r>
      <w:r w:rsidR="00EB4CB5">
        <w:rPr>
          <w:rFonts w:eastAsia="Batang"/>
          <w:lang w:eastAsia="ko-KR"/>
        </w:rPr>
        <w:t>, but they should not impact on defining the core specifications.</w:t>
      </w:r>
    </w:p>
    <w:p w14:paraId="60A1247D" w14:textId="77777777" w:rsidR="00EB4CB5" w:rsidRPr="00984BFC" w:rsidRDefault="00EB4CB5" w:rsidP="00B8318B">
      <w:pPr>
        <w:tabs>
          <w:tab w:val="left" w:pos="7935"/>
        </w:tabs>
        <w:rPr>
          <w:rFonts w:eastAsia="Batang"/>
          <w:b/>
          <w:bCs/>
          <w:i/>
          <w:iCs/>
          <w:lang w:eastAsia="ko-KR"/>
        </w:rPr>
      </w:pPr>
      <w:r w:rsidRPr="00984BFC">
        <w:rPr>
          <w:rFonts w:eastAsia="Batang"/>
          <w:b/>
          <w:bCs/>
          <w:i/>
          <w:iCs/>
          <w:lang w:eastAsia="ko-KR"/>
        </w:rPr>
        <w:t>Observation 2: Conformance testing details can be further discussed</w:t>
      </w:r>
      <w:r w:rsidR="00A66F15">
        <w:rPr>
          <w:rFonts w:eastAsia="Batang"/>
          <w:b/>
          <w:bCs/>
          <w:i/>
          <w:iCs/>
          <w:lang w:eastAsia="ko-KR"/>
        </w:rPr>
        <w:t xml:space="preserve"> </w:t>
      </w:r>
      <w:r w:rsidR="00A66F15">
        <w:rPr>
          <w:rFonts w:eastAsia="Batang"/>
          <w:lang w:eastAsia="ko-KR"/>
        </w:rPr>
        <w:t>in conformance part of work item</w:t>
      </w:r>
      <w:r w:rsidRPr="00984BFC">
        <w:rPr>
          <w:rFonts w:eastAsia="Batang"/>
          <w:b/>
          <w:bCs/>
          <w:i/>
          <w:iCs/>
          <w:lang w:eastAsia="ko-KR"/>
        </w:rPr>
        <w:t>, but they should not impact setting the core requirement.</w:t>
      </w:r>
    </w:p>
    <w:p w14:paraId="2101BDDB" w14:textId="5827BF22" w:rsidR="00EB4CB5" w:rsidRDefault="10D50F7D" w:rsidP="2167AF73">
      <w:pPr>
        <w:tabs>
          <w:tab w:val="left" w:pos="7935"/>
        </w:tabs>
      </w:pPr>
      <w:r w:rsidRPr="2167AF73">
        <w:rPr>
          <w:rFonts w:eastAsia="Batang"/>
          <w:lang w:eastAsia="ko-KR"/>
        </w:rPr>
        <w:t>There were concerns raised that such TAE requirement may impact implementation of IAB-DU. However, this should not be an issue as IAB-DU has full control on whether to configure timing case #6 in the field. If the TAE requirement cannot be met, the feature should not be supported nor configured.</w:t>
      </w:r>
      <w:r w:rsidR="66BC4FBA" w:rsidRPr="2167AF73">
        <w:rPr>
          <w:rFonts w:eastAsia="Batang"/>
          <w:lang w:eastAsia="ko-KR"/>
        </w:rPr>
        <w:t xml:space="preserve"> </w:t>
      </w:r>
      <w:r w:rsidR="66BC4FBA" w:rsidRPr="2167AF73">
        <w:t>Additionally, if requirements are not specified and therefore do not exist to provide a design guideline, designing IAB-DU receiver becomes very challenging as there is no expectation on in which range the IAB-MT timing could be.</w:t>
      </w:r>
    </w:p>
    <w:p w14:paraId="5ADD4A5B" w14:textId="77777777" w:rsidR="00EB4CB5" w:rsidRPr="00984BFC" w:rsidRDefault="10D50F7D" w:rsidP="00B8318B">
      <w:pPr>
        <w:tabs>
          <w:tab w:val="left" w:pos="7935"/>
        </w:tabs>
        <w:rPr>
          <w:rFonts w:eastAsia="Batang"/>
          <w:b/>
          <w:bCs/>
          <w:i/>
          <w:iCs/>
          <w:lang w:eastAsia="ko-KR"/>
        </w:rPr>
      </w:pPr>
      <w:r w:rsidRPr="2167AF73">
        <w:rPr>
          <w:rFonts w:eastAsia="Batang"/>
          <w:b/>
          <w:bCs/>
          <w:i/>
          <w:iCs/>
          <w:lang w:eastAsia="ko-KR"/>
        </w:rPr>
        <w:t>Observation 3: IAB-DU has control whether to configure case#6 timing in the field.</w:t>
      </w:r>
    </w:p>
    <w:p w14:paraId="7C038BCD" w14:textId="58C3FEEF" w:rsidR="23AA8010" w:rsidRDefault="23AA8010" w:rsidP="2167AF73">
      <w:pPr>
        <w:tabs>
          <w:tab w:val="left" w:pos="7935"/>
        </w:tabs>
      </w:pPr>
      <w:r w:rsidRPr="2167AF73">
        <w:rPr>
          <w:b/>
          <w:bCs/>
          <w:i/>
          <w:iCs/>
        </w:rPr>
        <w:t>Observation 4: Without standardized requirements providing a design guideline, receiver needs to prepare for any possible timing and design becomes very challenging.</w:t>
      </w:r>
    </w:p>
    <w:p w14:paraId="4708340C" w14:textId="366E188E" w:rsidR="23AA8010" w:rsidRDefault="23AA8010" w:rsidP="2167AF73">
      <w:pPr>
        <w:tabs>
          <w:tab w:val="left" w:pos="7935"/>
        </w:tabs>
      </w:pPr>
      <w:r w:rsidRPr="2167AF73">
        <w:t>There</w:t>
      </w:r>
      <w:r w:rsidRPr="2167AF73">
        <w:rPr>
          <w:i/>
          <w:iCs/>
        </w:rPr>
        <w:t xml:space="preserve"> </w:t>
      </w:r>
      <w:r w:rsidRPr="2167AF73">
        <w:t>was also misunderstandings what is the difference between timing error RF requirements and cell phase synchronization RRM requirements. One very clear difference is that timing error requirement is reference to the same physical entity (IAB-Node) whereas RRM cell phase synchronization looks at two different entities (two different BS or parent/child IAB-DU).</w:t>
      </w:r>
    </w:p>
    <w:p w14:paraId="75A37060" w14:textId="57446B63" w:rsidR="23AA8010" w:rsidRDefault="23AA8010" w:rsidP="2167AF73">
      <w:pPr>
        <w:tabs>
          <w:tab w:val="left" w:pos="7935"/>
        </w:tabs>
        <w:rPr>
          <w:i/>
          <w:iCs/>
        </w:rPr>
      </w:pPr>
      <w:r w:rsidRPr="2167AF73">
        <w:rPr>
          <w:b/>
          <w:bCs/>
          <w:i/>
          <w:iCs/>
        </w:rPr>
        <w:t>Observation 5: Timing error requirements apply for single IAB-Node where as RRM cell phase synchronization applies between parent and child IAB-DU.</w:t>
      </w:r>
    </w:p>
    <w:p w14:paraId="767A700E" w14:textId="77777777" w:rsidR="00B8318B" w:rsidRPr="00B4271F" w:rsidRDefault="00B8318B" w:rsidP="00B8318B">
      <w:pPr>
        <w:tabs>
          <w:tab w:val="left" w:pos="7935"/>
        </w:tabs>
        <w:rPr>
          <w:rFonts w:eastAsia="Batang"/>
          <w:lang w:val="en-US" w:eastAsia="ko-KR"/>
        </w:rPr>
      </w:pPr>
      <w:r w:rsidRPr="00B4271F">
        <w:rPr>
          <w:rFonts w:eastAsia="Batang"/>
          <w:lang w:val="en-US" w:eastAsia="ko-KR"/>
        </w:rPr>
        <w:t xml:space="preserve">The timing error between IAB-DU and IAB-MT simultaneous transmission may be defined in core specification as the average frame timing difference between any two transmissions on IAB-DU and IAB-MT on different transmit antenna connectors or different physical antenna ports. </w:t>
      </w:r>
    </w:p>
    <w:p w14:paraId="5229B19C" w14:textId="77777777" w:rsidR="00B8318B" w:rsidRPr="00F50CA4" w:rsidRDefault="00B8318B" w:rsidP="00B8318B">
      <w:pPr>
        <w:tabs>
          <w:tab w:val="left" w:pos="7935"/>
        </w:tabs>
        <w:rPr>
          <w:b/>
          <w:i/>
          <w:lang w:val="en-US"/>
        </w:rPr>
      </w:pPr>
      <w:r>
        <w:rPr>
          <w:b/>
          <w:i/>
          <w:lang w:val="en-US"/>
        </w:rPr>
        <w:t xml:space="preserve">Proposal </w:t>
      </w:r>
      <w:r w:rsidR="00EE0D6D">
        <w:rPr>
          <w:b/>
          <w:i/>
          <w:lang w:val="en-US"/>
        </w:rPr>
        <w:t>1</w:t>
      </w:r>
      <w:r>
        <w:rPr>
          <w:b/>
          <w:i/>
          <w:lang w:val="en-US"/>
        </w:rPr>
        <w:t>:</w:t>
      </w:r>
      <w:r w:rsidRPr="00F50CA4">
        <w:rPr>
          <w:b/>
          <w:i/>
          <w:lang w:val="en-US"/>
        </w:rPr>
        <w:t xml:space="preserve"> </w:t>
      </w:r>
      <w:r>
        <w:rPr>
          <w:b/>
          <w:i/>
          <w:lang w:val="en-US"/>
        </w:rPr>
        <w:t>Consider IAB timing error between IAB-DU and IAB-MT as</w:t>
      </w:r>
      <w:r w:rsidRPr="00B4271F">
        <w:rPr>
          <w:b/>
          <w:i/>
          <w:lang w:val="en-US"/>
        </w:rPr>
        <w:t xml:space="preserve"> the average frame timing difference between any two transmissions on IAB-DU and IAB-MT on different transmit antenna connectors or different physical antenna ports.</w:t>
      </w:r>
    </w:p>
    <w:p w14:paraId="248F9680" w14:textId="77777777" w:rsidR="00B8318B" w:rsidRDefault="00B8318B" w:rsidP="00B8318B">
      <w:pPr>
        <w:rPr>
          <w:rFonts w:eastAsia="Batang"/>
          <w:lang w:val="en-US" w:eastAsia="ko-KR"/>
        </w:rPr>
      </w:pPr>
      <w:r>
        <w:rPr>
          <w:rFonts w:eastAsia="Batang"/>
          <w:lang w:val="en-US" w:eastAsia="ko-KR"/>
        </w:rPr>
        <w:t>IAB timing error between IAB-DU and IAB-MT</w:t>
      </w:r>
      <w:r w:rsidRPr="00B4271F">
        <w:rPr>
          <w:rFonts w:eastAsia="Batang"/>
          <w:lang w:val="en-US" w:eastAsia="ko-KR"/>
        </w:rPr>
        <w:t xml:space="preserve"> can be measured as the timing difference between the different PDSCH demodulation reference signals (DM-RS) on different antenna ports belonging to different connectors or different beams on the carrier(s) from the representative connectors or beams under test.</w:t>
      </w:r>
    </w:p>
    <w:p w14:paraId="338D6466" w14:textId="66755A0C" w:rsidR="00B8318B" w:rsidRDefault="00B8318B" w:rsidP="00B8318B">
      <w:pPr>
        <w:overflowPunct/>
        <w:autoSpaceDE/>
        <w:autoSpaceDN/>
        <w:adjustRightInd/>
        <w:textAlignment w:val="auto"/>
        <w:rPr>
          <w:rFonts w:eastAsia="DengXian"/>
          <w:lang w:val="en-US" w:eastAsia="zh-CN"/>
        </w:rPr>
      </w:pPr>
      <w:r w:rsidRPr="00311C15">
        <w:rPr>
          <w:rFonts w:eastAsia="DengXian"/>
          <w:lang w:val="en-US" w:eastAsia="zh-CN"/>
        </w:rPr>
        <w:t xml:space="preserve">As IAB-DU and IAB-MT transmissions have different intended receiver, i.e. MT transmissions target the next-hop parent-node whereas DU transmissions target the next-hop child node or UE, the time alignment does not need to consider receiving both signal simultaneously. As a starting point, </w:t>
      </w:r>
      <w:r>
        <w:rPr>
          <w:rFonts w:eastAsia="DengXian"/>
          <w:lang w:val="en-US" w:eastAsia="zh-CN"/>
        </w:rPr>
        <w:t>in [</w:t>
      </w:r>
      <w:r w:rsidR="00A66F15">
        <w:rPr>
          <w:rFonts w:eastAsia="DengXian"/>
          <w:lang w:val="en-US" w:eastAsia="zh-CN"/>
        </w:rPr>
        <w:t>2</w:t>
      </w:r>
      <w:r>
        <w:rPr>
          <w:rFonts w:eastAsia="DengXian"/>
          <w:lang w:val="en-US" w:eastAsia="zh-CN"/>
        </w:rPr>
        <w:t xml:space="preserve">] </w:t>
      </w:r>
      <w:r w:rsidR="00A66F15">
        <w:rPr>
          <w:rFonts w:eastAsia="DengXian"/>
          <w:lang w:val="en-US" w:eastAsia="zh-CN"/>
        </w:rPr>
        <w:t xml:space="preserve">during RAN4#101-e </w:t>
      </w:r>
      <w:r>
        <w:rPr>
          <w:rFonts w:eastAsia="DengXian"/>
          <w:lang w:val="en-US" w:eastAsia="zh-CN"/>
        </w:rPr>
        <w:t xml:space="preserve"> meeting we proposed </w:t>
      </w:r>
      <w:r w:rsidRPr="00311C15">
        <w:rPr>
          <w:rFonts w:eastAsia="DengXian"/>
          <w:lang w:val="en-US" w:eastAsia="zh-CN"/>
        </w:rPr>
        <w:t xml:space="preserve">3us </w:t>
      </w:r>
      <w:r>
        <w:rPr>
          <w:rFonts w:eastAsia="DengXian"/>
          <w:lang w:val="en-US" w:eastAsia="zh-CN"/>
        </w:rPr>
        <w:t xml:space="preserve">for timing error </w:t>
      </w:r>
      <w:r w:rsidRPr="00311C15">
        <w:rPr>
          <w:rFonts w:eastAsia="DengXian"/>
          <w:lang w:val="en-US" w:eastAsia="zh-CN"/>
        </w:rPr>
        <w:t>requirement between IAB-MT and IAB-DU transmissions seem</w:t>
      </w:r>
      <w:r>
        <w:rPr>
          <w:rFonts w:eastAsia="DengXian"/>
          <w:lang w:val="en-US" w:eastAsia="zh-CN"/>
        </w:rPr>
        <w:t>ed</w:t>
      </w:r>
      <w:r w:rsidRPr="00311C15">
        <w:rPr>
          <w:rFonts w:eastAsia="DengXian"/>
          <w:lang w:val="en-US" w:eastAsia="zh-CN"/>
        </w:rPr>
        <w:t xml:space="preserve"> reasonable: it sets an upper limit on CLI impact but is not excessively stringent.</w:t>
      </w:r>
    </w:p>
    <w:p w14:paraId="525163DC" w14:textId="77777777" w:rsidR="00B8318B" w:rsidRDefault="6CEC3E8C" w:rsidP="00B8318B">
      <w:pPr>
        <w:overflowPunct/>
        <w:autoSpaceDE/>
        <w:autoSpaceDN/>
        <w:adjustRightInd/>
        <w:textAlignment w:val="auto"/>
        <w:rPr>
          <w:rFonts w:eastAsia="DengXian"/>
          <w:lang w:val="en-US" w:eastAsia="zh-CN"/>
        </w:rPr>
      </w:pPr>
      <w:r w:rsidRPr="2167AF73">
        <w:rPr>
          <w:rFonts w:eastAsia="DengXian"/>
          <w:lang w:val="en-US" w:eastAsia="zh-CN"/>
        </w:rPr>
        <w:t xml:space="preserve">Using 3 us as a requirement would be sufficient when interference towards other network nodes is considered, but may not be sufficient for intra-node performance. In case timing difference is greater than cyclic prefix length, there may be a glitch in signal quality when transmissions are ramped up/down. Therefore, </w:t>
      </w:r>
      <w:r w:rsidR="12BE88D1" w:rsidRPr="2167AF73">
        <w:rPr>
          <w:rFonts w:eastAsia="DengXian"/>
          <w:lang w:val="en-US" w:eastAsia="zh-CN"/>
        </w:rPr>
        <w:t>it is proposed to consider smaller value from 3us (Alt 1) and cyclic prefix length of largest supported SCS (Alt 2) for IAB timing error requirement between IAB-MT and IAB-DU transmissions for both SDM and FDM operation when case #6 timing is used.</w:t>
      </w:r>
    </w:p>
    <w:p w14:paraId="1770E1B7" w14:textId="77777777" w:rsidR="00B8318B" w:rsidRPr="00311C15" w:rsidRDefault="00B8318B" w:rsidP="00B8318B">
      <w:pPr>
        <w:overflowPunct/>
        <w:autoSpaceDE/>
        <w:autoSpaceDN/>
        <w:adjustRightInd/>
        <w:textAlignment w:val="auto"/>
        <w:rPr>
          <w:rFonts w:eastAsia="DengXian"/>
          <w:lang w:val="en-US" w:eastAsia="zh-CN"/>
        </w:rPr>
      </w:pPr>
      <w:r>
        <w:rPr>
          <w:rFonts w:eastAsia="DengXian"/>
          <w:lang w:val="en-US" w:eastAsia="zh-CN"/>
        </w:rPr>
        <w:t>For 15 kHz subcarrier spacing cyclic prefix is longer than 3 us and therefore for 15 kHz SCS it would be still necessary to set the limit to maximum 3us.</w:t>
      </w:r>
    </w:p>
    <w:p w14:paraId="608FE772" w14:textId="2E6E88E5" w:rsidR="00B8318B" w:rsidRDefault="00B8318B" w:rsidP="00A66F15">
      <w:pPr>
        <w:rPr>
          <w:b/>
          <w:i/>
          <w:lang w:val="en-US"/>
        </w:rPr>
      </w:pPr>
      <w:r w:rsidRPr="00311C15">
        <w:rPr>
          <w:b/>
          <w:i/>
          <w:lang w:val="en-US"/>
        </w:rPr>
        <w:t>Proposal</w:t>
      </w:r>
      <w:r w:rsidR="00715C1A">
        <w:rPr>
          <w:b/>
          <w:i/>
          <w:lang w:val="en-US"/>
        </w:rPr>
        <w:t xml:space="preserve"> 2</w:t>
      </w:r>
      <w:r w:rsidRPr="00311C15">
        <w:rPr>
          <w:b/>
          <w:i/>
          <w:lang w:val="en-US"/>
        </w:rPr>
        <w:t xml:space="preserve">: </w:t>
      </w:r>
      <w:r w:rsidR="00A66F15">
        <w:rPr>
          <w:b/>
          <w:i/>
          <w:lang w:val="en-US"/>
        </w:rPr>
        <w:t>It is proposed to use Option 1 i.e.</w:t>
      </w:r>
      <w:r w:rsidR="00A66F15" w:rsidRPr="00A66F15">
        <w:t xml:space="preserve"> </w:t>
      </w:r>
      <w:r w:rsidR="00A66F15" w:rsidRPr="00A66F15">
        <w:rPr>
          <w:b/>
          <w:i/>
          <w:lang w:val="en-US"/>
        </w:rPr>
        <w:t>To specify TAE between IAB-MT and IAB-DU in timing case #6</w:t>
      </w:r>
      <w:r w:rsidR="00A66F15">
        <w:rPr>
          <w:b/>
          <w:i/>
          <w:lang w:val="en-US"/>
        </w:rPr>
        <w:t xml:space="preserve">. </w:t>
      </w:r>
      <w:r w:rsidR="00A66F15" w:rsidRPr="00A66F15">
        <w:rPr>
          <w:b/>
          <w:i/>
          <w:lang w:val="en-US"/>
        </w:rPr>
        <w:t>The requirement value is min (3us , 4.69 / (SCS/15 kHz) µs).</w:t>
      </w:r>
      <w:r w:rsidR="00A66F15">
        <w:rPr>
          <w:b/>
          <w:i/>
          <w:lang w:val="en-US"/>
        </w:rPr>
        <w:t xml:space="preserve"> </w:t>
      </w:r>
    </w:p>
    <w:p w14:paraId="0BAEE293" w14:textId="77777777" w:rsidR="00B8318B" w:rsidRPr="008F62F1" w:rsidRDefault="00B8318B" w:rsidP="00B8318B">
      <w:pPr>
        <w:overflowPunct/>
        <w:autoSpaceDE/>
        <w:autoSpaceDN/>
        <w:adjustRightInd/>
        <w:textAlignment w:val="auto"/>
        <w:rPr>
          <w:rFonts w:eastAsia="DengXian"/>
          <w:lang w:val="en-US" w:eastAsia="zh-CN"/>
        </w:rPr>
      </w:pPr>
      <w:r w:rsidRPr="008F62F1">
        <w:rPr>
          <w:rFonts w:eastAsia="DengXian"/>
          <w:lang w:val="en-US" w:eastAsia="zh-CN"/>
        </w:rPr>
        <w:t xml:space="preserve">As every core requirement specified in RAN4 </w:t>
      </w:r>
      <w:r>
        <w:rPr>
          <w:rFonts w:eastAsia="DengXian"/>
          <w:lang w:val="en-US" w:eastAsia="zh-CN"/>
        </w:rPr>
        <w:t xml:space="preserve">core </w:t>
      </w:r>
      <w:r w:rsidRPr="008F62F1">
        <w:rPr>
          <w:rFonts w:eastAsia="DengXian"/>
          <w:lang w:val="en-US" w:eastAsia="zh-CN"/>
        </w:rPr>
        <w:t xml:space="preserve">technical specification should be verified by measurements specified in conformance test specification, also possible newly introduced </w:t>
      </w:r>
      <w:r>
        <w:rPr>
          <w:rFonts w:eastAsia="DengXian"/>
          <w:lang w:val="en-US" w:eastAsia="zh-CN"/>
        </w:rPr>
        <w:t>IAB timing requirement between IAB-DU and IAB-MT</w:t>
      </w:r>
      <w:r w:rsidRPr="008F62F1">
        <w:rPr>
          <w:rFonts w:eastAsia="DengXian"/>
          <w:lang w:val="en-US" w:eastAsia="zh-CN"/>
        </w:rPr>
        <w:t xml:space="preserve"> have to be included in conformance specifications.</w:t>
      </w:r>
    </w:p>
    <w:p w14:paraId="4F36D2EE" w14:textId="77777777" w:rsidR="00B8318B" w:rsidRPr="008F62F1" w:rsidRDefault="00B8318B" w:rsidP="00B8318B">
      <w:pPr>
        <w:overflowPunct/>
        <w:autoSpaceDE/>
        <w:autoSpaceDN/>
        <w:adjustRightInd/>
        <w:textAlignment w:val="auto"/>
        <w:rPr>
          <w:rFonts w:eastAsia="DengXian"/>
          <w:b/>
          <w:bCs/>
          <w:i/>
          <w:iCs/>
          <w:lang w:val="en-US" w:eastAsia="zh-CN"/>
        </w:rPr>
      </w:pPr>
      <w:r w:rsidRPr="008F62F1">
        <w:rPr>
          <w:rFonts w:eastAsia="DengXian"/>
          <w:b/>
          <w:bCs/>
          <w:i/>
          <w:iCs/>
          <w:lang w:val="en-US" w:eastAsia="zh-CN"/>
        </w:rPr>
        <w:t xml:space="preserve">Proposal </w:t>
      </w:r>
      <w:r w:rsidR="00715C1A">
        <w:rPr>
          <w:rFonts w:eastAsia="DengXian"/>
          <w:b/>
          <w:bCs/>
          <w:i/>
          <w:iCs/>
          <w:lang w:val="en-US" w:eastAsia="zh-CN"/>
        </w:rPr>
        <w:t>3</w:t>
      </w:r>
      <w:r w:rsidRPr="008F62F1">
        <w:rPr>
          <w:rFonts w:eastAsia="DengXian"/>
          <w:b/>
          <w:bCs/>
          <w:i/>
          <w:iCs/>
          <w:lang w:val="en-US" w:eastAsia="zh-CN"/>
        </w:rPr>
        <w:t xml:space="preserve">: Specify clearly new test configuration(s) and test model(s) to verify </w:t>
      </w:r>
      <w:r>
        <w:rPr>
          <w:rFonts w:eastAsia="DengXian"/>
          <w:b/>
          <w:bCs/>
          <w:i/>
          <w:iCs/>
          <w:lang w:val="en-US" w:eastAsia="zh-CN"/>
        </w:rPr>
        <w:t>IAB timing error between IAB-DU and IAB-MT</w:t>
      </w:r>
      <w:r w:rsidRPr="008F62F1">
        <w:rPr>
          <w:rFonts w:eastAsia="DengXian"/>
          <w:b/>
          <w:bCs/>
          <w:i/>
          <w:iCs/>
          <w:lang w:val="en-US" w:eastAsia="zh-CN"/>
        </w:rPr>
        <w:t xml:space="preserve"> transmission for both SDM and FDM operation when case #6 timing is used.</w:t>
      </w:r>
    </w:p>
    <w:p w14:paraId="0546D0C7" w14:textId="77777777" w:rsidR="00B8318B" w:rsidRPr="008203AF" w:rsidRDefault="00B8318B" w:rsidP="00B8318B">
      <w:pPr>
        <w:rPr>
          <w:rFonts w:eastAsia="Batang"/>
          <w:lang w:val="en-US" w:eastAsia="ko-KR"/>
        </w:rPr>
      </w:pPr>
      <w:r w:rsidRPr="008203AF">
        <w:rPr>
          <w:rFonts w:eastAsia="Batang"/>
          <w:lang w:val="en-US" w:eastAsia="ko-KR"/>
        </w:rPr>
        <w:t xml:space="preserve">Below there is presented a text proposal for IAB core specification </w:t>
      </w:r>
      <w:r>
        <w:rPr>
          <w:rFonts w:eastAsia="Batang"/>
          <w:lang w:val="en-US" w:eastAsia="ko-KR"/>
        </w:rPr>
        <w:t xml:space="preserve">TS 38.174 </w:t>
      </w:r>
      <w:r w:rsidRPr="008203AF">
        <w:rPr>
          <w:rFonts w:eastAsia="Batang"/>
          <w:lang w:val="en-US" w:eastAsia="ko-KR"/>
        </w:rPr>
        <w:t>with new requirement definition</w:t>
      </w:r>
      <w:r>
        <w:rPr>
          <w:rFonts w:eastAsia="Batang"/>
          <w:lang w:val="en-US" w:eastAsia="ko-KR"/>
        </w:rPr>
        <w:t xml:space="preserve"> for IAB timing error between IAB-DU and IAB-MT.</w:t>
      </w:r>
      <w:r w:rsidRPr="008203AF">
        <w:rPr>
          <w:rFonts w:eastAsia="Batang"/>
          <w:lang w:val="en-US" w:eastAsia="ko-KR"/>
        </w:rPr>
        <w:t xml:space="preserve">  </w:t>
      </w:r>
    </w:p>
    <w:p w14:paraId="08C40D61" w14:textId="77777777" w:rsidR="00B8318B" w:rsidRPr="008203AF" w:rsidRDefault="00B8318B" w:rsidP="00B8318B">
      <w:pPr>
        <w:rPr>
          <w:bCs/>
          <w:iCs/>
          <w:color w:val="FF0000"/>
          <w:sz w:val="22"/>
          <w:szCs w:val="22"/>
          <w:lang w:val="en-US"/>
        </w:rPr>
      </w:pPr>
      <w:r w:rsidRPr="008203AF">
        <w:rPr>
          <w:bCs/>
          <w:iCs/>
          <w:color w:val="FF0000"/>
          <w:sz w:val="22"/>
          <w:szCs w:val="22"/>
          <w:lang w:val="en-US"/>
        </w:rPr>
        <w:lastRenderedPageBreak/>
        <w:t>&lt;TP example to IAB core specification for new IAB timing error to TS 38.174&gt;</w:t>
      </w:r>
    </w:p>
    <w:p w14:paraId="644206B9" w14:textId="6515CB62" w:rsidR="00B8318B" w:rsidRPr="000E19A5" w:rsidRDefault="00B8318B" w:rsidP="00B8318B">
      <w:pPr>
        <w:keepNext/>
        <w:keepLines/>
        <w:overflowPunct/>
        <w:autoSpaceDE/>
        <w:autoSpaceDN/>
        <w:adjustRightInd/>
        <w:spacing w:before="120"/>
        <w:textAlignment w:val="auto"/>
        <w:outlineLvl w:val="2"/>
        <w:rPr>
          <w:rFonts w:ascii="Arial" w:hAnsi="Arial"/>
          <w:color w:val="4472C4"/>
          <w:sz w:val="28"/>
        </w:rPr>
      </w:pPr>
      <w:bookmarkStart w:id="1" w:name="_Toc21127479"/>
      <w:bookmarkStart w:id="2" w:name="_Toc29811688"/>
      <w:bookmarkStart w:id="3" w:name="_Toc36817240"/>
      <w:bookmarkStart w:id="4" w:name="_Toc37260156"/>
      <w:bookmarkStart w:id="5" w:name="_Toc37267544"/>
      <w:bookmarkStart w:id="6" w:name="_Toc44712146"/>
      <w:bookmarkStart w:id="7" w:name="_Toc45893459"/>
      <w:bookmarkStart w:id="8" w:name="_Toc53178186"/>
      <w:bookmarkStart w:id="9" w:name="_Toc53178637"/>
      <w:bookmarkStart w:id="10" w:name="_Toc61177876"/>
      <w:bookmarkStart w:id="11" w:name="_Toc61178348"/>
      <w:bookmarkStart w:id="12" w:name="_Toc67916415"/>
      <w:bookmarkStart w:id="13" w:name="_Toc74669852"/>
      <w:bookmarkStart w:id="14" w:name="_Toc76543500"/>
      <w:r w:rsidRPr="000E19A5">
        <w:rPr>
          <w:rFonts w:ascii="Arial" w:hAnsi="Arial"/>
          <w:color w:val="4472C4"/>
          <w:sz w:val="28"/>
        </w:rPr>
        <w:t>6.5.4</w:t>
      </w:r>
      <w:r w:rsidRPr="000E19A5">
        <w:rPr>
          <w:rFonts w:ascii="Arial" w:hAnsi="Arial"/>
          <w:color w:val="4472C4"/>
          <w:sz w:val="28"/>
        </w:rPr>
        <w:tab/>
        <w:t>Timing error</w:t>
      </w:r>
      <w:bookmarkEnd w:id="1"/>
      <w:bookmarkEnd w:id="2"/>
      <w:bookmarkEnd w:id="3"/>
      <w:bookmarkEnd w:id="4"/>
      <w:bookmarkEnd w:id="5"/>
      <w:bookmarkEnd w:id="6"/>
      <w:bookmarkEnd w:id="7"/>
      <w:bookmarkEnd w:id="8"/>
      <w:bookmarkEnd w:id="9"/>
      <w:bookmarkEnd w:id="10"/>
      <w:bookmarkEnd w:id="11"/>
      <w:bookmarkEnd w:id="12"/>
      <w:bookmarkEnd w:id="13"/>
      <w:bookmarkEnd w:id="14"/>
      <w:r w:rsidRPr="000E19A5">
        <w:rPr>
          <w:rFonts w:ascii="Arial" w:hAnsi="Arial"/>
          <w:color w:val="4472C4"/>
          <w:sz w:val="28"/>
        </w:rPr>
        <w:t xml:space="preserve"> between IAB-DU and IAB-MT</w:t>
      </w:r>
      <w:r w:rsidR="00054694">
        <w:rPr>
          <w:rFonts w:ascii="Arial" w:hAnsi="Arial"/>
          <w:color w:val="4472C4"/>
          <w:sz w:val="28"/>
        </w:rPr>
        <w:t xml:space="preserve"> of the same IAB-Node</w:t>
      </w:r>
    </w:p>
    <w:p w14:paraId="56FADAF6" w14:textId="77777777" w:rsidR="009E7914" w:rsidRPr="009E7914" w:rsidRDefault="009E7914" w:rsidP="009E7914">
      <w:pPr>
        <w:overflowPunct/>
        <w:autoSpaceDE/>
        <w:autoSpaceDN/>
        <w:adjustRightInd/>
        <w:textAlignment w:val="auto"/>
        <w:rPr>
          <w:color w:val="4472C4"/>
        </w:rPr>
      </w:pPr>
      <w:bookmarkStart w:id="15" w:name="_Toc21127480"/>
      <w:bookmarkStart w:id="16" w:name="_Toc29811689"/>
      <w:bookmarkStart w:id="17" w:name="_Toc36817241"/>
      <w:bookmarkStart w:id="18" w:name="_Toc37260157"/>
      <w:bookmarkStart w:id="19" w:name="_Toc37267545"/>
      <w:bookmarkStart w:id="20" w:name="_Toc44712147"/>
      <w:bookmarkStart w:id="21" w:name="_Toc45893460"/>
      <w:bookmarkStart w:id="22" w:name="_Toc53178187"/>
      <w:bookmarkStart w:id="23" w:name="_Toc53178638"/>
      <w:bookmarkStart w:id="24" w:name="_Toc61177877"/>
      <w:bookmarkStart w:id="25" w:name="_Toc61178349"/>
      <w:bookmarkStart w:id="26" w:name="_Toc67916416"/>
      <w:bookmarkStart w:id="27" w:name="_Toc74669853"/>
      <w:bookmarkStart w:id="28" w:name="_Toc76543501"/>
      <w:r w:rsidRPr="009E7914">
        <w:rPr>
          <w:color w:val="4472C4"/>
        </w:rPr>
        <w:t>When the indicated IAB-MT transmission timing mode is set to ‘Case6’ as specified in 3GPP TS 38.213 [10] and IAB-DU and IAB-MT of the same IAB-Node are transmitting in the same slot, the timing error between transmission timing of IAB-DU and IAB-MT shall not exceed min (3, 4.69 / (SCS/15 kHz)) µs, where SCS is the largest supported subcarrier spacing among IAB-DU and IAB-MT.</w:t>
      </w:r>
    </w:p>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ADF742B" w14:textId="77777777" w:rsidR="00B8318B" w:rsidRPr="008203AF" w:rsidRDefault="00B8318B" w:rsidP="00B8318B">
      <w:pPr>
        <w:overflowPunct/>
        <w:autoSpaceDE/>
        <w:autoSpaceDN/>
        <w:adjustRightInd/>
        <w:spacing w:after="0"/>
        <w:jc w:val="both"/>
        <w:textAlignment w:val="auto"/>
        <w:rPr>
          <w:rFonts w:ascii="Arial" w:hAnsi="Arial" w:cs="Arial"/>
          <w:color w:val="595959"/>
        </w:rPr>
      </w:pPr>
    </w:p>
    <w:p w14:paraId="59784FFD" w14:textId="77777777" w:rsidR="00B8318B" w:rsidRPr="008203AF" w:rsidRDefault="00B8318B" w:rsidP="0018671D">
      <w:pPr>
        <w:overflowPunct/>
        <w:autoSpaceDE/>
        <w:autoSpaceDN/>
        <w:adjustRightInd/>
        <w:spacing w:after="0"/>
        <w:jc w:val="both"/>
        <w:textAlignment w:val="auto"/>
        <w:rPr>
          <w:rFonts w:ascii="Arial" w:hAnsi="Arial" w:cs="Arial"/>
          <w:color w:val="FF0000"/>
          <w:sz w:val="22"/>
          <w:szCs w:val="22"/>
        </w:rPr>
      </w:pPr>
      <w:r w:rsidRPr="008203AF">
        <w:rPr>
          <w:rFonts w:ascii="Arial" w:hAnsi="Arial" w:cs="Arial"/>
          <w:color w:val="FF0000"/>
          <w:sz w:val="22"/>
          <w:szCs w:val="22"/>
        </w:rPr>
        <w:t>&lt;Next addition to TS 38.174&gt;</w:t>
      </w:r>
    </w:p>
    <w:p w14:paraId="77A189DA" w14:textId="77777777" w:rsidR="00B8318B" w:rsidRPr="008203AF" w:rsidRDefault="00B8318B" w:rsidP="00B8318B">
      <w:pPr>
        <w:overflowPunct/>
        <w:autoSpaceDE/>
        <w:autoSpaceDN/>
        <w:adjustRightInd/>
        <w:spacing w:after="0"/>
        <w:jc w:val="both"/>
        <w:textAlignment w:val="auto"/>
        <w:rPr>
          <w:rFonts w:ascii="Arial" w:hAnsi="Arial" w:cs="Arial"/>
          <w:color w:val="595959"/>
        </w:rPr>
      </w:pPr>
    </w:p>
    <w:p w14:paraId="0B327473" w14:textId="77777777" w:rsidR="00B8318B" w:rsidRPr="008203AF" w:rsidRDefault="00B8318B" w:rsidP="00B8318B">
      <w:pPr>
        <w:overflowPunct/>
        <w:autoSpaceDE/>
        <w:autoSpaceDN/>
        <w:adjustRightInd/>
        <w:spacing w:after="0"/>
        <w:jc w:val="both"/>
        <w:textAlignment w:val="auto"/>
        <w:rPr>
          <w:rFonts w:ascii="Arial" w:hAnsi="Arial" w:cs="Arial"/>
          <w:color w:val="595959"/>
        </w:rPr>
      </w:pPr>
    </w:p>
    <w:p w14:paraId="29AA03D2" w14:textId="13D4526E" w:rsidR="00B8318B" w:rsidRPr="000E19A5" w:rsidRDefault="00B8318B" w:rsidP="00B8318B">
      <w:pPr>
        <w:keepNext/>
        <w:keepLines/>
        <w:spacing w:before="120"/>
        <w:outlineLvl w:val="2"/>
        <w:rPr>
          <w:rFonts w:ascii="Arial" w:hAnsi="Arial"/>
          <w:color w:val="4472C4"/>
          <w:sz w:val="28"/>
          <w:lang w:val="en-US" w:eastAsia="en-GB"/>
        </w:rPr>
      </w:pPr>
      <w:bookmarkStart w:id="29" w:name="_Toc29811866"/>
      <w:bookmarkStart w:id="30" w:name="_Toc21127657"/>
      <w:bookmarkStart w:id="31" w:name="_Toc53185483"/>
      <w:bookmarkStart w:id="32" w:name="_Toc53185859"/>
      <w:bookmarkStart w:id="33" w:name="_Toc57820345"/>
      <w:bookmarkStart w:id="34" w:name="_Toc57821272"/>
      <w:bookmarkStart w:id="35" w:name="_Toc61183548"/>
      <w:bookmarkStart w:id="36" w:name="_Toc61183942"/>
      <w:bookmarkStart w:id="37" w:name="_Toc61184334"/>
      <w:bookmarkStart w:id="38" w:name="_Toc61184726"/>
      <w:bookmarkStart w:id="39" w:name="_Toc61185116"/>
      <w:bookmarkStart w:id="40" w:name="_Toc66386460"/>
      <w:bookmarkStart w:id="41" w:name="_Toc74583363"/>
      <w:bookmarkStart w:id="42" w:name="_Toc76542176"/>
      <w:bookmarkStart w:id="43" w:name="_Toc82450158"/>
      <w:bookmarkStart w:id="44" w:name="_Toc82450806"/>
      <w:r w:rsidRPr="000E19A5">
        <w:rPr>
          <w:rFonts w:ascii="Arial" w:hAnsi="Arial"/>
          <w:color w:val="4472C4"/>
          <w:sz w:val="28"/>
          <w:lang w:val="en-US" w:eastAsia="en-GB"/>
        </w:rPr>
        <w:t>9.6.4</w:t>
      </w:r>
      <w:r w:rsidRPr="000E19A5">
        <w:rPr>
          <w:rFonts w:ascii="Arial" w:hAnsi="Arial"/>
          <w:color w:val="4472C4"/>
          <w:sz w:val="28"/>
          <w:lang w:val="en-US" w:eastAsia="en-GB"/>
        </w:rPr>
        <w:tab/>
        <w:t>OTA timing error between IAB-DU and IAB-MT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00054694">
        <w:rPr>
          <w:rFonts w:ascii="Arial" w:hAnsi="Arial"/>
          <w:color w:val="4472C4"/>
          <w:sz w:val="28"/>
          <w:lang w:val="en-US" w:eastAsia="en-GB"/>
        </w:rPr>
        <w:t xml:space="preserve"> </w:t>
      </w:r>
      <w:r w:rsidR="00054694">
        <w:rPr>
          <w:rFonts w:ascii="Arial" w:hAnsi="Arial"/>
          <w:color w:val="4472C4"/>
          <w:sz w:val="28"/>
        </w:rPr>
        <w:t>of the same IAB-Node</w:t>
      </w:r>
    </w:p>
    <w:p w14:paraId="5D22BF9F" w14:textId="77777777" w:rsidR="00B8318B" w:rsidRPr="000E19A5" w:rsidRDefault="00B8318B" w:rsidP="00B8318B">
      <w:pPr>
        <w:overflowPunct/>
        <w:autoSpaceDE/>
        <w:autoSpaceDN/>
        <w:adjustRightInd/>
        <w:spacing w:after="0"/>
        <w:jc w:val="both"/>
        <w:textAlignment w:val="auto"/>
        <w:rPr>
          <w:rFonts w:ascii="Arial" w:hAnsi="Arial" w:cs="Arial"/>
          <w:color w:val="4472C4"/>
        </w:rPr>
      </w:pPr>
    </w:p>
    <w:p w14:paraId="191E2E5A" w14:textId="73F03D9F" w:rsidR="00B8318B" w:rsidRPr="000E19A5" w:rsidRDefault="00B8318B" w:rsidP="00B8318B">
      <w:pPr>
        <w:keepNext/>
        <w:keepLines/>
        <w:overflowPunct/>
        <w:autoSpaceDE/>
        <w:autoSpaceDN/>
        <w:adjustRightInd/>
        <w:spacing w:before="120"/>
        <w:textAlignment w:val="auto"/>
        <w:outlineLvl w:val="3"/>
        <w:rPr>
          <w:rFonts w:ascii="Arial" w:hAnsi="Arial"/>
          <w:color w:val="4472C4"/>
          <w:sz w:val="24"/>
        </w:rPr>
      </w:pPr>
      <w:bookmarkStart w:id="45" w:name="_Toc21127659"/>
      <w:bookmarkStart w:id="46" w:name="_Toc29811868"/>
      <w:bookmarkStart w:id="47" w:name="_Toc36817420"/>
      <w:bookmarkStart w:id="48" w:name="_Toc37260342"/>
      <w:bookmarkStart w:id="49" w:name="_Toc37267730"/>
      <w:bookmarkStart w:id="50" w:name="_Toc44712333"/>
      <w:bookmarkStart w:id="51" w:name="_Toc45893646"/>
      <w:bookmarkStart w:id="52" w:name="_Toc53178366"/>
      <w:bookmarkStart w:id="53" w:name="_Toc53178817"/>
      <w:bookmarkStart w:id="54" w:name="_Toc61178068"/>
      <w:bookmarkStart w:id="55" w:name="_Toc61178540"/>
      <w:bookmarkStart w:id="56" w:name="_Toc67916608"/>
      <w:bookmarkStart w:id="57" w:name="_Toc74670068"/>
      <w:bookmarkStart w:id="58" w:name="_Toc76543716"/>
      <w:r w:rsidRPr="000E19A5">
        <w:rPr>
          <w:rFonts w:ascii="Arial" w:hAnsi="Arial"/>
          <w:color w:val="4472C4"/>
          <w:sz w:val="24"/>
        </w:rPr>
        <w:t>9.6.4.</w:t>
      </w:r>
      <w:r w:rsidR="009E7914">
        <w:rPr>
          <w:rFonts w:ascii="Arial" w:hAnsi="Arial"/>
          <w:color w:val="4472C4"/>
          <w:sz w:val="24"/>
        </w:rPr>
        <w:t>1</w:t>
      </w:r>
      <w:r w:rsidRPr="000E19A5">
        <w:rPr>
          <w:rFonts w:ascii="Arial" w:hAnsi="Arial"/>
          <w:color w:val="4472C4"/>
          <w:sz w:val="24"/>
        </w:rPr>
        <w:tab/>
        <w:t>Minimum requirement</w:t>
      </w:r>
      <w:r w:rsidRPr="000E19A5">
        <w:rPr>
          <w:rFonts w:ascii="Arial" w:hAnsi="Arial"/>
          <w:color w:val="4472C4"/>
          <w:sz w:val="24"/>
          <w:lang w:eastAsia="ja-JP"/>
        </w:rPr>
        <w:t xml:space="preserve"> for </w:t>
      </w:r>
      <w:r w:rsidRPr="000E19A5">
        <w:rPr>
          <w:rFonts w:ascii="Arial" w:hAnsi="Arial"/>
          <w:i/>
          <w:color w:val="4472C4"/>
          <w:sz w:val="24"/>
          <w:lang w:eastAsia="ja-JP"/>
        </w:rPr>
        <w:t>IAB type 1-O</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5E4E247" w14:textId="77777777" w:rsidR="00B8318B" w:rsidRPr="000E19A5" w:rsidRDefault="00B8318B" w:rsidP="00B8318B">
      <w:pPr>
        <w:overflowPunct/>
        <w:autoSpaceDE/>
        <w:autoSpaceDN/>
        <w:adjustRightInd/>
        <w:spacing w:after="0"/>
        <w:jc w:val="both"/>
        <w:textAlignment w:val="auto"/>
        <w:rPr>
          <w:rFonts w:ascii="Arial" w:hAnsi="Arial" w:cs="Arial"/>
          <w:color w:val="4472C4"/>
        </w:rPr>
      </w:pPr>
    </w:p>
    <w:p w14:paraId="4075709E" w14:textId="77777777" w:rsidR="009E7914" w:rsidRPr="009E7914" w:rsidRDefault="009E7914" w:rsidP="009E7914">
      <w:pPr>
        <w:overflowPunct/>
        <w:autoSpaceDE/>
        <w:autoSpaceDN/>
        <w:adjustRightInd/>
        <w:textAlignment w:val="auto"/>
        <w:rPr>
          <w:color w:val="4472C4"/>
        </w:rPr>
      </w:pPr>
      <w:r w:rsidRPr="009E7914">
        <w:rPr>
          <w:color w:val="4472C4"/>
        </w:rPr>
        <w:t>When the indicated IAB-MT transmission timing mode is set to ‘Case6’ as specified in 3GPP TS 38.213 [10] and IAB-DU and IAB-MT of the same IAB-Node are transmitting in the same slot, the timing error between transmission timing of IAB-DU and IAB-MT shall not exceed min (3, 4.69 / (SCS/15 kHz)) µs, where SCS is the largest supported subcarrier spacing among IAB-DU and IAB-MT.</w:t>
      </w:r>
    </w:p>
    <w:p w14:paraId="55023F1B" w14:textId="77777777" w:rsidR="00B8318B" w:rsidRPr="000E19A5" w:rsidRDefault="00B8318B" w:rsidP="00B8318B">
      <w:pPr>
        <w:overflowPunct/>
        <w:autoSpaceDE/>
        <w:autoSpaceDN/>
        <w:adjustRightInd/>
        <w:spacing w:after="0"/>
        <w:jc w:val="both"/>
        <w:textAlignment w:val="auto"/>
        <w:rPr>
          <w:rFonts w:ascii="Arial" w:hAnsi="Arial" w:cs="Arial"/>
          <w:color w:val="4472C4"/>
        </w:rPr>
      </w:pPr>
    </w:p>
    <w:p w14:paraId="523BCFEA" w14:textId="546E19FE" w:rsidR="00B8318B" w:rsidRPr="000E19A5" w:rsidRDefault="00B8318B" w:rsidP="00B8318B">
      <w:pPr>
        <w:keepNext/>
        <w:keepLines/>
        <w:overflowPunct/>
        <w:autoSpaceDE/>
        <w:autoSpaceDN/>
        <w:adjustRightInd/>
        <w:spacing w:before="120"/>
        <w:textAlignment w:val="auto"/>
        <w:outlineLvl w:val="3"/>
        <w:rPr>
          <w:rFonts w:ascii="Arial" w:hAnsi="Arial"/>
          <w:color w:val="4472C4"/>
          <w:sz w:val="24"/>
        </w:rPr>
      </w:pPr>
      <w:r w:rsidRPr="000E19A5">
        <w:rPr>
          <w:rFonts w:ascii="Arial" w:hAnsi="Arial"/>
          <w:color w:val="4472C4"/>
          <w:sz w:val="24"/>
        </w:rPr>
        <w:t>9.6.4.</w:t>
      </w:r>
      <w:r w:rsidR="009E7914">
        <w:rPr>
          <w:rFonts w:ascii="Arial" w:hAnsi="Arial"/>
          <w:color w:val="4472C4"/>
          <w:sz w:val="24"/>
        </w:rPr>
        <w:t>2</w:t>
      </w:r>
      <w:r w:rsidRPr="000E19A5">
        <w:rPr>
          <w:rFonts w:ascii="Arial" w:hAnsi="Arial"/>
          <w:color w:val="4472C4"/>
          <w:sz w:val="24"/>
        </w:rPr>
        <w:tab/>
        <w:t>Minimum requirement</w:t>
      </w:r>
      <w:r w:rsidRPr="000E19A5">
        <w:rPr>
          <w:rFonts w:ascii="Arial" w:hAnsi="Arial"/>
          <w:color w:val="4472C4"/>
          <w:sz w:val="24"/>
          <w:lang w:eastAsia="ja-JP"/>
        </w:rPr>
        <w:t xml:space="preserve"> for </w:t>
      </w:r>
      <w:r w:rsidRPr="000E19A5">
        <w:rPr>
          <w:rFonts w:ascii="Arial" w:hAnsi="Arial"/>
          <w:i/>
          <w:color w:val="4472C4"/>
          <w:sz w:val="24"/>
          <w:lang w:eastAsia="ja-JP"/>
        </w:rPr>
        <w:t>IAB type 2-O</w:t>
      </w:r>
    </w:p>
    <w:p w14:paraId="5BA42D6E" w14:textId="77777777" w:rsidR="00B8318B" w:rsidRPr="000E19A5" w:rsidRDefault="00B8318B" w:rsidP="00B8318B">
      <w:pPr>
        <w:overflowPunct/>
        <w:autoSpaceDE/>
        <w:autoSpaceDN/>
        <w:adjustRightInd/>
        <w:spacing w:after="0"/>
        <w:jc w:val="both"/>
        <w:textAlignment w:val="auto"/>
        <w:rPr>
          <w:rFonts w:ascii="Arial" w:hAnsi="Arial" w:cs="Arial"/>
          <w:color w:val="4472C4"/>
        </w:rPr>
      </w:pPr>
    </w:p>
    <w:p w14:paraId="3ADE0C05" w14:textId="77777777" w:rsidR="009E7914" w:rsidRPr="009E7914" w:rsidRDefault="009E7914" w:rsidP="009E7914">
      <w:pPr>
        <w:overflowPunct/>
        <w:autoSpaceDE/>
        <w:autoSpaceDN/>
        <w:adjustRightInd/>
        <w:textAlignment w:val="auto"/>
        <w:rPr>
          <w:color w:val="4472C4"/>
        </w:rPr>
      </w:pPr>
      <w:r w:rsidRPr="009E7914">
        <w:rPr>
          <w:color w:val="4472C4"/>
        </w:rPr>
        <w:t>When the indicated IAB-MT transmission timing mode is set to ‘Case6’ as specified in 3GPP TS 38.213 [10] and IAB-DU and IAB-MT of the same IAB-Node are transmitting in the same slot, the timing error between transmission timing of IAB-DU and IAB-MT shall not exceed min (3, 4.69 / (SCS/15 kHz)) µs, where SCS is the largest supported subcarrier spacing among IAB-DU and IAB-MT.</w:t>
      </w:r>
    </w:p>
    <w:p w14:paraId="0ED63A84" w14:textId="77777777" w:rsidR="00B8318B" w:rsidRDefault="00B8318B" w:rsidP="00B8318B">
      <w:pPr>
        <w:rPr>
          <w:color w:val="FF0000"/>
          <w:sz w:val="22"/>
          <w:szCs w:val="22"/>
        </w:rPr>
      </w:pPr>
    </w:p>
    <w:p w14:paraId="4B8F8303" w14:textId="77777777" w:rsidR="00B8318B" w:rsidRPr="008203AF" w:rsidRDefault="00B8318B" w:rsidP="00B8318B">
      <w:pPr>
        <w:rPr>
          <w:sz w:val="22"/>
          <w:szCs w:val="22"/>
        </w:rPr>
      </w:pPr>
      <w:r w:rsidRPr="008203AF">
        <w:rPr>
          <w:color w:val="FF0000"/>
          <w:sz w:val="22"/>
          <w:szCs w:val="22"/>
        </w:rPr>
        <w:t>&lt;</w:t>
      </w:r>
      <w:r>
        <w:rPr>
          <w:color w:val="FF0000"/>
          <w:sz w:val="22"/>
          <w:szCs w:val="22"/>
        </w:rPr>
        <w:t>End of TP</w:t>
      </w:r>
      <w:r w:rsidRPr="008203AF">
        <w:rPr>
          <w:color w:val="FF0000"/>
          <w:sz w:val="22"/>
          <w:szCs w:val="22"/>
        </w:rPr>
        <w:t xml:space="preserve"> to TS 38.174&gt;</w:t>
      </w:r>
    </w:p>
    <w:p w14:paraId="5BA1F89C" w14:textId="77777777" w:rsidR="007F6156" w:rsidRDefault="007F6156" w:rsidP="007F6156">
      <w:pPr>
        <w:rPr>
          <w:lang w:val="en-US"/>
        </w:rPr>
      </w:pPr>
    </w:p>
    <w:p w14:paraId="6FCB4F70" w14:textId="21AD437F" w:rsidR="007F6156" w:rsidRPr="0024109C" w:rsidRDefault="0024109C" w:rsidP="0024109C">
      <w:pPr>
        <w:pStyle w:val="Heading1"/>
        <w:keepLines/>
        <w:pBdr>
          <w:top w:val="single" w:sz="12" w:space="3" w:color="auto"/>
        </w:pBdr>
        <w:tabs>
          <w:tab w:val="clear" w:pos="851"/>
        </w:tabs>
        <w:overflowPunct w:val="0"/>
        <w:spacing w:before="240" w:after="180"/>
        <w:ind w:left="360" w:hanging="360"/>
        <w:jc w:val="left"/>
        <w:textAlignment w:val="baseline"/>
        <w:rPr>
          <w:rStyle w:val="Heading1Char"/>
          <w:color w:val="auto"/>
        </w:rPr>
      </w:pPr>
      <w:r>
        <w:rPr>
          <w:rStyle w:val="Heading1Char"/>
          <w:color w:val="auto"/>
        </w:rPr>
        <w:t xml:space="preserve">3 </w:t>
      </w:r>
      <w:r w:rsidR="007F6156" w:rsidRPr="0024109C">
        <w:rPr>
          <w:rStyle w:val="Heading1Char"/>
          <w:color w:val="auto"/>
        </w:rPr>
        <w:t>Conclusion</w:t>
      </w:r>
    </w:p>
    <w:p w14:paraId="65B36290" w14:textId="77777777" w:rsidR="00B8318B" w:rsidRPr="00B8318B" w:rsidRDefault="00B8318B" w:rsidP="00B8318B">
      <w:pPr>
        <w:rPr>
          <w:lang w:val="en-US"/>
        </w:rPr>
      </w:pPr>
      <w:r w:rsidRPr="00B8318B">
        <w:rPr>
          <w:lang w:val="en-US"/>
        </w:rPr>
        <w:t>In this contribution we further discuss issue of IAB timing error between IAB-DU and IAB-MT. We have made following observations and proposals and text proposal to IAB core specification TS 38.174.</w:t>
      </w:r>
    </w:p>
    <w:p w14:paraId="0E498BE2" w14:textId="77777777" w:rsidR="00054694" w:rsidRPr="00984BFC" w:rsidRDefault="00054694" w:rsidP="00054694">
      <w:pPr>
        <w:tabs>
          <w:tab w:val="left" w:pos="7935"/>
        </w:tabs>
        <w:rPr>
          <w:rFonts w:eastAsia="Batang"/>
          <w:b/>
          <w:bCs/>
          <w:i/>
          <w:iCs/>
          <w:lang w:eastAsia="ko-KR"/>
        </w:rPr>
      </w:pPr>
      <w:r w:rsidRPr="00984BFC">
        <w:rPr>
          <w:rFonts w:eastAsia="Batang"/>
          <w:b/>
          <w:bCs/>
          <w:i/>
          <w:iCs/>
          <w:lang w:eastAsia="ko-KR"/>
        </w:rPr>
        <w:t>Observation 1: With no TAE requirement for intra-node IAB-MT and IAB-DU Tx there will be no limitation on the timing error in RAN4 specifications and timing case #6 operation will not be verified.</w:t>
      </w:r>
    </w:p>
    <w:p w14:paraId="1ED69995" w14:textId="77777777" w:rsidR="00054694" w:rsidRPr="00984BFC" w:rsidRDefault="00054694" w:rsidP="00054694">
      <w:pPr>
        <w:tabs>
          <w:tab w:val="left" w:pos="7935"/>
        </w:tabs>
        <w:rPr>
          <w:rFonts w:eastAsia="Batang"/>
          <w:b/>
          <w:bCs/>
          <w:i/>
          <w:iCs/>
          <w:lang w:eastAsia="ko-KR"/>
        </w:rPr>
      </w:pPr>
      <w:r w:rsidRPr="00984BFC">
        <w:rPr>
          <w:rFonts w:eastAsia="Batang"/>
          <w:b/>
          <w:bCs/>
          <w:i/>
          <w:iCs/>
          <w:lang w:eastAsia="ko-KR"/>
        </w:rPr>
        <w:t>Observation 2: Conformance testing details can be further discussed</w:t>
      </w:r>
      <w:r>
        <w:rPr>
          <w:rFonts w:eastAsia="Batang"/>
          <w:b/>
          <w:bCs/>
          <w:i/>
          <w:iCs/>
          <w:lang w:eastAsia="ko-KR"/>
        </w:rPr>
        <w:t xml:space="preserve"> </w:t>
      </w:r>
      <w:r>
        <w:rPr>
          <w:rFonts w:eastAsia="Batang"/>
          <w:lang w:eastAsia="ko-KR"/>
        </w:rPr>
        <w:t>in conformance part of work item</w:t>
      </w:r>
      <w:r w:rsidRPr="00984BFC">
        <w:rPr>
          <w:rFonts w:eastAsia="Batang"/>
          <w:b/>
          <w:bCs/>
          <w:i/>
          <w:iCs/>
          <w:lang w:eastAsia="ko-KR"/>
        </w:rPr>
        <w:t>, but they should not impact setting the core requirement.</w:t>
      </w:r>
    </w:p>
    <w:p w14:paraId="00C390E4" w14:textId="77777777" w:rsidR="00054694" w:rsidRPr="00984BFC" w:rsidRDefault="00054694" w:rsidP="00054694">
      <w:pPr>
        <w:tabs>
          <w:tab w:val="left" w:pos="7935"/>
        </w:tabs>
        <w:rPr>
          <w:rFonts w:eastAsia="Batang"/>
          <w:b/>
          <w:bCs/>
          <w:i/>
          <w:iCs/>
          <w:lang w:eastAsia="ko-KR"/>
        </w:rPr>
      </w:pPr>
      <w:r w:rsidRPr="2167AF73">
        <w:rPr>
          <w:rFonts w:eastAsia="Batang"/>
          <w:b/>
          <w:bCs/>
          <w:i/>
          <w:iCs/>
          <w:lang w:eastAsia="ko-KR"/>
        </w:rPr>
        <w:t>Observation 3: IAB-DU has control whether to configure case#6 timing in the field.</w:t>
      </w:r>
    </w:p>
    <w:p w14:paraId="699A2935" w14:textId="3CA49AD1" w:rsidR="00054694" w:rsidRDefault="00054694" w:rsidP="00054694">
      <w:pPr>
        <w:tabs>
          <w:tab w:val="left" w:pos="7935"/>
        </w:tabs>
        <w:rPr>
          <w:b/>
          <w:bCs/>
          <w:i/>
          <w:iCs/>
        </w:rPr>
      </w:pPr>
      <w:r w:rsidRPr="2167AF73">
        <w:rPr>
          <w:b/>
          <w:bCs/>
          <w:i/>
          <w:iCs/>
        </w:rPr>
        <w:t>Observation 4: Without standardized requirements providing a design guideline, receiver needs to prepare for any possible timing and design becomes very challenging.</w:t>
      </w:r>
    </w:p>
    <w:p w14:paraId="10EB80DD" w14:textId="77777777" w:rsidR="00054694" w:rsidRDefault="00054694" w:rsidP="00054694">
      <w:pPr>
        <w:tabs>
          <w:tab w:val="left" w:pos="7935"/>
        </w:tabs>
        <w:rPr>
          <w:i/>
          <w:iCs/>
        </w:rPr>
      </w:pPr>
      <w:r w:rsidRPr="2167AF73">
        <w:rPr>
          <w:b/>
          <w:bCs/>
          <w:i/>
          <w:iCs/>
        </w:rPr>
        <w:t>Observation 5: Timing error requirements apply for single IAB-Node where as RRM cell phase synchronization applies between parent and child IAB-DU.</w:t>
      </w:r>
    </w:p>
    <w:p w14:paraId="6D06057A" w14:textId="77777777" w:rsidR="00054694" w:rsidRPr="00F50CA4" w:rsidRDefault="00054694" w:rsidP="00054694">
      <w:pPr>
        <w:tabs>
          <w:tab w:val="left" w:pos="7935"/>
        </w:tabs>
        <w:rPr>
          <w:b/>
          <w:i/>
          <w:lang w:val="en-US"/>
        </w:rPr>
      </w:pPr>
      <w:r>
        <w:rPr>
          <w:b/>
          <w:i/>
          <w:lang w:val="en-US"/>
        </w:rPr>
        <w:lastRenderedPageBreak/>
        <w:t>Proposal 1:</w:t>
      </w:r>
      <w:r w:rsidRPr="00F50CA4">
        <w:rPr>
          <w:b/>
          <w:i/>
          <w:lang w:val="en-US"/>
        </w:rPr>
        <w:t xml:space="preserve"> </w:t>
      </w:r>
      <w:r>
        <w:rPr>
          <w:b/>
          <w:i/>
          <w:lang w:val="en-US"/>
        </w:rPr>
        <w:t>Consider IAB timing error between IAB-DU and IAB-MT as</w:t>
      </w:r>
      <w:r w:rsidRPr="00B4271F">
        <w:rPr>
          <w:b/>
          <w:i/>
          <w:lang w:val="en-US"/>
        </w:rPr>
        <w:t xml:space="preserve"> the average frame timing difference between any two transmissions on IAB-DU and IAB-MT on different transmit antenna connectors or different physical antenna ports.</w:t>
      </w:r>
    </w:p>
    <w:p w14:paraId="5E3D5695" w14:textId="77777777" w:rsidR="00054694" w:rsidRDefault="00054694" w:rsidP="00054694">
      <w:pPr>
        <w:rPr>
          <w:b/>
          <w:i/>
          <w:lang w:val="en-US"/>
        </w:rPr>
      </w:pPr>
      <w:r w:rsidRPr="00311C15">
        <w:rPr>
          <w:b/>
          <w:i/>
          <w:lang w:val="en-US"/>
        </w:rPr>
        <w:t>Proposal</w:t>
      </w:r>
      <w:r>
        <w:rPr>
          <w:b/>
          <w:i/>
          <w:lang w:val="en-US"/>
        </w:rPr>
        <w:t xml:space="preserve"> 2</w:t>
      </w:r>
      <w:r w:rsidRPr="00311C15">
        <w:rPr>
          <w:b/>
          <w:i/>
          <w:lang w:val="en-US"/>
        </w:rPr>
        <w:t xml:space="preserve">: </w:t>
      </w:r>
      <w:r>
        <w:rPr>
          <w:b/>
          <w:i/>
          <w:lang w:val="en-US"/>
        </w:rPr>
        <w:t>It is proposed to use Option 1 i.e.</w:t>
      </w:r>
      <w:r w:rsidRPr="00A66F15">
        <w:t xml:space="preserve"> </w:t>
      </w:r>
      <w:r w:rsidRPr="00A66F15">
        <w:rPr>
          <w:b/>
          <w:i/>
          <w:lang w:val="en-US"/>
        </w:rPr>
        <w:t>To specify TAE between IAB-MT and IAB-DU in timing case #6</w:t>
      </w:r>
      <w:r>
        <w:rPr>
          <w:b/>
          <w:i/>
          <w:lang w:val="en-US"/>
        </w:rPr>
        <w:t xml:space="preserve">. </w:t>
      </w:r>
      <w:r w:rsidRPr="00A66F15">
        <w:rPr>
          <w:b/>
          <w:i/>
          <w:lang w:val="en-US"/>
        </w:rPr>
        <w:t>The requirement value is min (3us , 4.69 / (SCS/15 kHz) µs).</w:t>
      </w:r>
      <w:r>
        <w:rPr>
          <w:b/>
          <w:i/>
          <w:lang w:val="en-US"/>
        </w:rPr>
        <w:t xml:space="preserve"> </w:t>
      </w:r>
    </w:p>
    <w:p w14:paraId="247E0A87" w14:textId="77777777" w:rsidR="00054694" w:rsidRPr="008F62F1" w:rsidRDefault="00054694" w:rsidP="00054694">
      <w:pPr>
        <w:overflowPunct/>
        <w:autoSpaceDE/>
        <w:autoSpaceDN/>
        <w:adjustRightInd/>
        <w:textAlignment w:val="auto"/>
        <w:rPr>
          <w:rFonts w:eastAsia="DengXian"/>
          <w:b/>
          <w:bCs/>
          <w:i/>
          <w:iCs/>
          <w:lang w:val="en-US" w:eastAsia="zh-CN"/>
        </w:rPr>
      </w:pPr>
      <w:r w:rsidRPr="008F62F1">
        <w:rPr>
          <w:rFonts w:eastAsia="DengXian"/>
          <w:b/>
          <w:bCs/>
          <w:i/>
          <w:iCs/>
          <w:lang w:val="en-US" w:eastAsia="zh-CN"/>
        </w:rPr>
        <w:t xml:space="preserve">Proposal </w:t>
      </w:r>
      <w:r>
        <w:rPr>
          <w:rFonts w:eastAsia="DengXian"/>
          <w:b/>
          <w:bCs/>
          <w:i/>
          <w:iCs/>
          <w:lang w:val="en-US" w:eastAsia="zh-CN"/>
        </w:rPr>
        <w:t>3</w:t>
      </w:r>
      <w:r w:rsidRPr="008F62F1">
        <w:rPr>
          <w:rFonts w:eastAsia="DengXian"/>
          <w:b/>
          <w:bCs/>
          <w:i/>
          <w:iCs/>
          <w:lang w:val="en-US" w:eastAsia="zh-CN"/>
        </w:rPr>
        <w:t xml:space="preserve">: Specify clearly new test configuration(s) and test model(s) to verify </w:t>
      </w:r>
      <w:r>
        <w:rPr>
          <w:rFonts w:eastAsia="DengXian"/>
          <w:b/>
          <w:bCs/>
          <w:i/>
          <w:iCs/>
          <w:lang w:val="en-US" w:eastAsia="zh-CN"/>
        </w:rPr>
        <w:t>IAB timing error between IAB-DU and IAB-MT</w:t>
      </w:r>
      <w:r w:rsidRPr="008F62F1">
        <w:rPr>
          <w:rFonts w:eastAsia="DengXian"/>
          <w:b/>
          <w:bCs/>
          <w:i/>
          <w:iCs/>
          <w:lang w:val="en-US" w:eastAsia="zh-CN"/>
        </w:rPr>
        <w:t xml:space="preserve"> transmission for both SDM and FDM operation when case #6 timing is used.</w:t>
      </w:r>
    </w:p>
    <w:p w14:paraId="11D419B9" w14:textId="77777777" w:rsidR="00054694" w:rsidRPr="00054694" w:rsidRDefault="00054694" w:rsidP="00054694">
      <w:pPr>
        <w:tabs>
          <w:tab w:val="left" w:pos="7935"/>
        </w:tabs>
        <w:rPr>
          <w:lang w:val="en-US"/>
        </w:rPr>
      </w:pPr>
    </w:p>
    <w:p w14:paraId="06D9F31E" w14:textId="77777777" w:rsidR="00054694" w:rsidRDefault="00054694" w:rsidP="00904C26">
      <w:pPr>
        <w:pStyle w:val="Heading1"/>
        <w:tabs>
          <w:tab w:val="clear" w:pos="851"/>
        </w:tabs>
        <w:ind w:left="0" w:firstLine="0"/>
        <w:rPr>
          <w:rStyle w:val="Heading1Char"/>
          <w:color w:val="auto"/>
        </w:rPr>
      </w:pPr>
    </w:p>
    <w:p w14:paraId="5CDCBD38" w14:textId="159B6E0F" w:rsidR="00904C26" w:rsidRPr="0024109C" w:rsidRDefault="00904C26" w:rsidP="00904C26">
      <w:pPr>
        <w:pStyle w:val="Heading1"/>
        <w:tabs>
          <w:tab w:val="clear" w:pos="851"/>
        </w:tabs>
        <w:ind w:left="0" w:firstLine="0"/>
        <w:rPr>
          <w:rStyle w:val="Heading1Char"/>
          <w:color w:val="auto"/>
        </w:rPr>
      </w:pPr>
      <w:r w:rsidRPr="0024109C">
        <w:rPr>
          <w:rStyle w:val="Heading1Char"/>
          <w:color w:val="auto"/>
        </w:rPr>
        <w:t>References</w:t>
      </w:r>
    </w:p>
    <w:p w14:paraId="1B53E589" w14:textId="77777777" w:rsidR="00A66F15" w:rsidRDefault="00984BFC" w:rsidP="00A66F15">
      <w:pPr>
        <w:pStyle w:val="EX"/>
        <w:tabs>
          <w:tab w:val="left" w:pos="426"/>
        </w:tabs>
        <w:overflowPunct/>
        <w:autoSpaceDE/>
        <w:autoSpaceDN/>
        <w:adjustRightInd/>
        <w:ind w:left="0" w:firstLine="0"/>
        <w:textAlignment w:val="auto"/>
      </w:pPr>
      <w:r>
        <w:t xml:space="preserve">[1] </w:t>
      </w:r>
      <w:r w:rsidR="00B8318B" w:rsidRPr="00B8318B">
        <w:t>R4-2</w:t>
      </w:r>
      <w:r>
        <w:t>203019</w:t>
      </w:r>
      <w:r w:rsidR="00B8318B">
        <w:t xml:space="preserve">, </w:t>
      </w:r>
      <w:r w:rsidRPr="00984BFC">
        <w:t>WF on timing enhancement for eIAB</w:t>
      </w:r>
      <w:r w:rsidR="00B8318B">
        <w:t xml:space="preserve">, </w:t>
      </w:r>
      <w:bookmarkEnd w:id="0"/>
      <w:r>
        <w:t>Nokia, Nokia Shanghai Bell</w:t>
      </w:r>
    </w:p>
    <w:p w14:paraId="7C998A96" w14:textId="77777777" w:rsidR="00A66F15" w:rsidRDefault="00A66F15" w:rsidP="00A66F15">
      <w:pPr>
        <w:pStyle w:val="EX"/>
        <w:tabs>
          <w:tab w:val="left" w:pos="0"/>
        </w:tabs>
        <w:overflowPunct/>
        <w:autoSpaceDE/>
        <w:autoSpaceDN/>
        <w:adjustRightInd/>
        <w:ind w:left="0" w:firstLine="0"/>
        <w:textAlignment w:val="auto"/>
      </w:pPr>
      <w:r>
        <w:t>[2] R4-2118912, On IAB timing error, Nokia, Nokia Shanghai Bell</w:t>
      </w:r>
    </w:p>
    <w:p w14:paraId="2966AA2F" w14:textId="77777777" w:rsidR="00A66F15" w:rsidRDefault="00A66F15" w:rsidP="00A66F15">
      <w:pPr>
        <w:pStyle w:val="EX"/>
        <w:tabs>
          <w:tab w:val="left" w:pos="0"/>
        </w:tabs>
        <w:overflowPunct/>
        <w:autoSpaceDE/>
        <w:autoSpaceDN/>
        <w:adjustRightInd/>
        <w:ind w:left="0" w:firstLine="0"/>
        <w:textAlignment w:val="auto"/>
      </w:pPr>
      <w:r>
        <w:t xml:space="preserve">[3] </w:t>
      </w:r>
      <w:r w:rsidRPr="00A66F15">
        <w:t>R4-2201596</w:t>
      </w:r>
      <w:r>
        <w:t xml:space="preserve">, </w:t>
      </w:r>
      <w:r w:rsidRPr="00A66F15">
        <w:t>Discussion on timing error for eIAB</w:t>
      </w:r>
      <w:r>
        <w:t>, Nokia, Nokia Shanghai Bell</w:t>
      </w:r>
    </w:p>
    <w:p w14:paraId="629B9321" w14:textId="77777777" w:rsidR="00A66F15" w:rsidRPr="00A66F15" w:rsidRDefault="00A66F15" w:rsidP="00984BFC">
      <w:pPr>
        <w:pStyle w:val="EX"/>
        <w:tabs>
          <w:tab w:val="left" w:pos="426"/>
        </w:tabs>
        <w:overflowPunct/>
        <w:autoSpaceDE/>
        <w:autoSpaceDN/>
        <w:adjustRightInd/>
        <w:ind w:left="0" w:firstLine="0"/>
        <w:textAlignment w:val="auto"/>
      </w:pPr>
    </w:p>
    <w:sectPr w:rsidR="00A66F15" w:rsidRPr="00A66F15"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062AF" w14:textId="77777777" w:rsidR="003C6C3A" w:rsidRDefault="003C6C3A">
      <w:r>
        <w:separator/>
      </w:r>
    </w:p>
    <w:p w14:paraId="6276BDE5" w14:textId="77777777" w:rsidR="003C6C3A" w:rsidRDefault="003C6C3A"/>
  </w:endnote>
  <w:endnote w:type="continuationSeparator" w:id="0">
    <w:p w14:paraId="7BA2F70B" w14:textId="77777777" w:rsidR="003C6C3A" w:rsidRDefault="003C6C3A">
      <w:r>
        <w:continuationSeparator/>
      </w:r>
    </w:p>
    <w:p w14:paraId="35EC5B48" w14:textId="77777777" w:rsidR="003C6C3A" w:rsidRDefault="003C6C3A"/>
  </w:endnote>
  <w:endnote w:type="continuationNotice" w:id="1">
    <w:p w14:paraId="2EA9BEBA" w14:textId="77777777" w:rsidR="003C6C3A" w:rsidRDefault="003C6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C5349"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62946" w14:textId="77777777" w:rsidR="003C6C3A" w:rsidRDefault="003C6C3A">
      <w:r>
        <w:separator/>
      </w:r>
    </w:p>
    <w:p w14:paraId="207A475C" w14:textId="77777777" w:rsidR="003C6C3A" w:rsidRDefault="003C6C3A"/>
  </w:footnote>
  <w:footnote w:type="continuationSeparator" w:id="0">
    <w:p w14:paraId="257D07DF" w14:textId="77777777" w:rsidR="003C6C3A" w:rsidRDefault="003C6C3A">
      <w:r>
        <w:continuationSeparator/>
      </w:r>
    </w:p>
    <w:p w14:paraId="48A3AEF5" w14:textId="77777777" w:rsidR="003C6C3A" w:rsidRDefault="003C6C3A"/>
  </w:footnote>
  <w:footnote w:type="continuationNotice" w:id="1">
    <w:p w14:paraId="09CD1B0A" w14:textId="77777777" w:rsidR="003C6C3A" w:rsidRDefault="003C6C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990EF"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498CDD08">
      <w:start w:val="1"/>
      <w:numFmt w:val="decimal"/>
      <w:pStyle w:val="myReference"/>
      <w:lvlText w:val="[%1]"/>
      <w:lvlJc w:val="left"/>
      <w:pPr>
        <w:tabs>
          <w:tab w:val="num" w:pos="-1440"/>
        </w:tabs>
        <w:ind w:left="-1440" w:hanging="360"/>
      </w:pPr>
      <w:rPr>
        <w:rFonts w:hint="default"/>
      </w:rPr>
    </w:lvl>
    <w:lvl w:ilvl="1" w:tplc="F6189694" w:tentative="1">
      <w:start w:val="1"/>
      <w:numFmt w:val="lowerLetter"/>
      <w:lvlText w:val="%2."/>
      <w:lvlJc w:val="left"/>
      <w:pPr>
        <w:tabs>
          <w:tab w:val="num" w:pos="-720"/>
        </w:tabs>
        <w:ind w:left="-720" w:hanging="360"/>
      </w:pPr>
    </w:lvl>
    <w:lvl w:ilvl="2" w:tplc="2004B5DC" w:tentative="1">
      <w:start w:val="1"/>
      <w:numFmt w:val="lowerRoman"/>
      <w:lvlText w:val="%3."/>
      <w:lvlJc w:val="right"/>
      <w:pPr>
        <w:tabs>
          <w:tab w:val="num" w:pos="0"/>
        </w:tabs>
        <w:ind w:left="0" w:hanging="180"/>
      </w:pPr>
    </w:lvl>
    <w:lvl w:ilvl="3" w:tplc="27AEAC6C" w:tentative="1">
      <w:start w:val="1"/>
      <w:numFmt w:val="decimal"/>
      <w:lvlText w:val="%4."/>
      <w:lvlJc w:val="left"/>
      <w:pPr>
        <w:tabs>
          <w:tab w:val="num" w:pos="720"/>
        </w:tabs>
        <w:ind w:left="720" w:hanging="360"/>
      </w:pPr>
    </w:lvl>
    <w:lvl w:ilvl="4" w:tplc="3C0E5C4C" w:tentative="1">
      <w:start w:val="1"/>
      <w:numFmt w:val="lowerLetter"/>
      <w:lvlText w:val="%5."/>
      <w:lvlJc w:val="left"/>
      <w:pPr>
        <w:tabs>
          <w:tab w:val="num" w:pos="1440"/>
        </w:tabs>
        <w:ind w:left="1440" w:hanging="360"/>
      </w:pPr>
    </w:lvl>
    <w:lvl w:ilvl="5" w:tplc="23ACE30E" w:tentative="1">
      <w:start w:val="1"/>
      <w:numFmt w:val="lowerRoman"/>
      <w:lvlText w:val="%6."/>
      <w:lvlJc w:val="right"/>
      <w:pPr>
        <w:tabs>
          <w:tab w:val="num" w:pos="2160"/>
        </w:tabs>
        <w:ind w:left="2160" w:hanging="180"/>
      </w:pPr>
    </w:lvl>
    <w:lvl w:ilvl="6" w:tplc="4128FDAA" w:tentative="1">
      <w:start w:val="1"/>
      <w:numFmt w:val="decimal"/>
      <w:lvlText w:val="%7."/>
      <w:lvlJc w:val="left"/>
      <w:pPr>
        <w:tabs>
          <w:tab w:val="num" w:pos="2880"/>
        </w:tabs>
        <w:ind w:left="2880" w:hanging="360"/>
      </w:pPr>
    </w:lvl>
    <w:lvl w:ilvl="7" w:tplc="08949024" w:tentative="1">
      <w:start w:val="1"/>
      <w:numFmt w:val="lowerLetter"/>
      <w:lvlText w:val="%8."/>
      <w:lvlJc w:val="left"/>
      <w:pPr>
        <w:tabs>
          <w:tab w:val="num" w:pos="3600"/>
        </w:tabs>
        <w:ind w:left="3600" w:hanging="360"/>
      </w:pPr>
    </w:lvl>
    <w:lvl w:ilvl="8" w:tplc="5BEA846C"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822754"/>
    <w:multiLevelType w:val="hybridMultilevel"/>
    <w:tmpl w:val="F87C5348"/>
    <w:lvl w:ilvl="0" w:tplc="DBEEE72E">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150EB8"/>
    <w:multiLevelType w:val="hybridMultilevel"/>
    <w:tmpl w:val="A7526B30"/>
    <w:lvl w:ilvl="0" w:tplc="DBEEE72E">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5"/>
  </w:num>
  <w:num w:numId="3">
    <w:abstractNumId w:val="25"/>
  </w:num>
  <w:num w:numId="4">
    <w:abstractNumId w:val="3"/>
  </w:num>
  <w:num w:numId="5">
    <w:abstractNumId w:val="1"/>
  </w:num>
  <w:num w:numId="6">
    <w:abstractNumId w:val="19"/>
  </w:num>
  <w:num w:numId="7">
    <w:abstractNumId w:val="15"/>
  </w:num>
  <w:num w:numId="8">
    <w:abstractNumId w:val="18"/>
  </w:num>
  <w:num w:numId="9">
    <w:abstractNumId w:val="4"/>
  </w:num>
  <w:num w:numId="10">
    <w:abstractNumId w:val="13"/>
  </w:num>
  <w:num w:numId="11">
    <w:abstractNumId w:val="27"/>
  </w:num>
  <w:num w:numId="12">
    <w:abstractNumId w:val="8"/>
  </w:num>
  <w:num w:numId="13">
    <w:abstractNumId w:val="14"/>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4"/>
  </w:num>
  <w:num w:numId="19">
    <w:abstractNumId w:val="20"/>
  </w:num>
  <w:num w:numId="20">
    <w:abstractNumId w:val="23"/>
  </w:num>
  <w:num w:numId="21">
    <w:abstractNumId w:val="0"/>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7"/>
  </w:num>
  <w:num w:numId="26">
    <w:abstractNumId w:val="16"/>
  </w:num>
  <w:num w:numId="27">
    <w:abstractNumId w:val="26"/>
  </w:num>
  <w:num w:numId="28">
    <w:abstractNumId w:val="2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17045"/>
    <w:rsid w:val="00022200"/>
    <w:rsid w:val="00022F79"/>
    <w:rsid w:val="00023420"/>
    <w:rsid w:val="00024555"/>
    <w:rsid w:val="00024DA3"/>
    <w:rsid w:val="0002536C"/>
    <w:rsid w:val="00026235"/>
    <w:rsid w:val="00030F6A"/>
    <w:rsid w:val="00032E33"/>
    <w:rsid w:val="000337B8"/>
    <w:rsid w:val="0003397D"/>
    <w:rsid w:val="00034D1A"/>
    <w:rsid w:val="00036334"/>
    <w:rsid w:val="000365FA"/>
    <w:rsid w:val="00041216"/>
    <w:rsid w:val="00041CE6"/>
    <w:rsid w:val="0004250C"/>
    <w:rsid w:val="00043ED1"/>
    <w:rsid w:val="00044215"/>
    <w:rsid w:val="0004544D"/>
    <w:rsid w:val="0004586A"/>
    <w:rsid w:val="00045CAF"/>
    <w:rsid w:val="00045DD8"/>
    <w:rsid w:val="00046833"/>
    <w:rsid w:val="00046DB6"/>
    <w:rsid w:val="00046EDB"/>
    <w:rsid w:val="000473C5"/>
    <w:rsid w:val="000478FE"/>
    <w:rsid w:val="00050937"/>
    <w:rsid w:val="00050AEA"/>
    <w:rsid w:val="00051646"/>
    <w:rsid w:val="00051D7C"/>
    <w:rsid w:val="00054694"/>
    <w:rsid w:val="00055B73"/>
    <w:rsid w:val="0005692B"/>
    <w:rsid w:val="00057323"/>
    <w:rsid w:val="0006168A"/>
    <w:rsid w:val="000622DA"/>
    <w:rsid w:val="00062576"/>
    <w:rsid w:val="00062A74"/>
    <w:rsid w:val="00062E33"/>
    <w:rsid w:val="00063665"/>
    <w:rsid w:val="00063741"/>
    <w:rsid w:val="00064217"/>
    <w:rsid w:val="00064909"/>
    <w:rsid w:val="00065047"/>
    <w:rsid w:val="00070D0C"/>
    <w:rsid w:val="00071949"/>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AA6"/>
    <w:rsid w:val="000C25B8"/>
    <w:rsid w:val="000C2E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24B7"/>
    <w:rsid w:val="000F37B4"/>
    <w:rsid w:val="000F5653"/>
    <w:rsid w:val="000F70F2"/>
    <w:rsid w:val="00100473"/>
    <w:rsid w:val="00102205"/>
    <w:rsid w:val="001048A5"/>
    <w:rsid w:val="001048F9"/>
    <w:rsid w:val="0010497F"/>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71D"/>
    <w:rsid w:val="0018696D"/>
    <w:rsid w:val="0019099F"/>
    <w:rsid w:val="00192D27"/>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4B24"/>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4F39"/>
    <w:rsid w:val="00235486"/>
    <w:rsid w:val="002354EF"/>
    <w:rsid w:val="0023739B"/>
    <w:rsid w:val="0024109C"/>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6FEC"/>
    <w:rsid w:val="00247049"/>
    <w:rsid w:val="00247BD1"/>
    <w:rsid w:val="00247EB1"/>
    <w:rsid w:val="00250262"/>
    <w:rsid w:val="00250538"/>
    <w:rsid w:val="00255C77"/>
    <w:rsid w:val="0025787C"/>
    <w:rsid w:val="0026652B"/>
    <w:rsid w:val="00266A0A"/>
    <w:rsid w:val="002676D7"/>
    <w:rsid w:val="00267C91"/>
    <w:rsid w:val="00267E60"/>
    <w:rsid w:val="0027067C"/>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7D54"/>
    <w:rsid w:val="003A07CC"/>
    <w:rsid w:val="003A1B84"/>
    <w:rsid w:val="003A44BA"/>
    <w:rsid w:val="003A4B77"/>
    <w:rsid w:val="003A62F2"/>
    <w:rsid w:val="003A679B"/>
    <w:rsid w:val="003B30F0"/>
    <w:rsid w:val="003B3358"/>
    <w:rsid w:val="003B5B85"/>
    <w:rsid w:val="003B675E"/>
    <w:rsid w:val="003B7306"/>
    <w:rsid w:val="003B7F0A"/>
    <w:rsid w:val="003C2D3C"/>
    <w:rsid w:val="003C573F"/>
    <w:rsid w:val="003C5DEE"/>
    <w:rsid w:val="003C6C3A"/>
    <w:rsid w:val="003D2D8F"/>
    <w:rsid w:val="003D61D4"/>
    <w:rsid w:val="003D6285"/>
    <w:rsid w:val="003D7AA1"/>
    <w:rsid w:val="003D7E0A"/>
    <w:rsid w:val="003E0018"/>
    <w:rsid w:val="003E03C0"/>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50A"/>
    <w:rsid w:val="00442735"/>
    <w:rsid w:val="004434F2"/>
    <w:rsid w:val="004462CC"/>
    <w:rsid w:val="00446768"/>
    <w:rsid w:val="0045193C"/>
    <w:rsid w:val="0045201E"/>
    <w:rsid w:val="00452B22"/>
    <w:rsid w:val="00453CDE"/>
    <w:rsid w:val="00455117"/>
    <w:rsid w:val="00457E77"/>
    <w:rsid w:val="00461DA8"/>
    <w:rsid w:val="00463786"/>
    <w:rsid w:val="00464305"/>
    <w:rsid w:val="004646F1"/>
    <w:rsid w:val="004648E9"/>
    <w:rsid w:val="00465616"/>
    <w:rsid w:val="00467C5A"/>
    <w:rsid w:val="00470D57"/>
    <w:rsid w:val="004751F1"/>
    <w:rsid w:val="00475E66"/>
    <w:rsid w:val="0048077D"/>
    <w:rsid w:val="004823D7"/>
    <w:rsid w:val="00482850"/>
    <w:rsid w:val="00486056"/>
    <w:rsid w:val="00487109"/>
    <w:rsid w:val="00490415"/>
    <w:rsid w:val="00491DAB"/>
    <w:rsid w:val="00493D41"/>
    <w:rsid w:val="004945D6"/>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26BE"/>
    <w:rsid w:val="004D47FA"/>
    <w:rsid w:val="004E0607"/>
    <w:rsid w:val="004E2429"/>
    <w:rsid w:val="004E3849"/>
    <w:rsid w:val="004E6EE2"/>
    <w:rsid w:val="004E7F06"/>
    <w:rsid w:val="004F1495"/>
    <w:rsid w:val="004F454D"/>
    <w:rsid w:val="004F4F9D"/>
    <w:rsid w:val="004F67CB"/>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139"/>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6CC0"/>
    <w:rsid w:val="00577705"/>
    <w:rsid w:val="005804B5"/>
    <w:rsid w:val="00583DF4"/>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3F2"/>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581E"/>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AFC"/>
    <w:rsid w:val="00661B3E"/>
    <w:rsid w:val="0066216D"/>
    <w:rsid w:val="00663584"/>
    <w:rsid w:val="00663E96"/>
    <w:rsid w:val="00664DC6"/>
    <w:rsid w:val="00667314"/>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4BD8"/>
    <w:rsid w:val="00705023"/>
    <w:rsid w:val="007104A8"/>
    <w:rsid w:val="00712846"/>
    <w:rsid w:val="00712C06"/>
    <w:rsid w:val="00712FEF"/>
    <w:rsid w:val="00715C1A"/>
    <w:rsid w:val="00717D9B"/>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5E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A1B23"/>
    <w:rsid w:val="007A28DE"/>
    <w:rsid w:val="007A4753"/>
    <w:rsid w:val="007A54B2"/>
    <w:rsid w:val="007A654D"/>
    <w:rsid w:val="007A67BB"/>
    <w:rsid w:val="007B0A8C"/>
    <w:rsid w:val="007B2AF2"/>
    <w:rsid w:val="007B2B03"/>
    <w:rsid w:val="007B4B68"/>
    <w:rsid w:val="007B6D2D"/>
    <w:rsid w:val="007C1F19"/>
    <w:rsid w:val="007C22BE"/>
    <w:rsid w:val="007C3E7E"/>
    <w:rsid w:val="007C4325"/>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B5F"/>
    <w:rsid w:val="008363C6"/>
    <w:rsid w:val="008439A7"/>
    <w:rsid w:val="00843FAC"/>
    <w:rsid w:val="0084529F"/>
    <w:rsid w:val="00845448"/>
    <w:rsid w:val="008455CF"/>
    <w:rsid w:val="00845A40"/>
    <w:rsid w:val="00853593"/>
    <w:rsid w:val="0085531B"/>
    <w:rsid w:val="00857086"/>
    <w:rsid w:val="008605CD"/>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18B"/>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1BC"/>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4E2"/>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BFC"/>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03DD"/>
    <w:rsid w:val="009B152F"/>
    <w:rsid w:val="009B4C57"/>
    <w:rsid w:val="009B4F29"/>
    <w:rsid w:val="009B5895"/>
    <w:rsid w:val="009C3FD8"/>
    <w:rsid w:val="009C4874"/>
    <w:rsid w:val="009C4DA4"/>
    <w:rsid w:val="009C69E3"/>
    <w:rsid w:val="009C6C1C"/>
    <w:rsid w:val="009D2A44"/>
    <w:rsid w:val="009D3A8D"/>
    <w:rsid w:val="009D5116"/>
    <w:rsid w:val="009D59F9"/>
    <w:rsid w:val="009D6E61"/>
    <w:rsid w:val="009E19E9"/>
    <w:rsid w:val="009E26E6"/>
    <w:rsid w:val="009E4058"/>
    <w:rsid w:val="009E4605"/>
    <w:rsid w:val="009E470E"/>
    <w:rsid w:val="009E7914"/>
    <w:rsid w:val="009F2C45"/>
    <w:rsid w:val="009F31C8"/>
    <w:rsid w:val="00A00FA6"/>
    <w:rsid w:val="00A014F1"/>
    <w:rsid w:val="00A02375"/>
    <w:rsid w:val="00A0242A"/>
    <w:rsid w:val="00A04783"/>
    <w:rsid w:val="00A052BB"/>
    <w:rsid w:val="00A069CD"/>
    <w:rsid w:val="00A06DC2"/>
    <w:rsid w:val="00A06FEA"/>
    <w:rsid w:val="00A119BC"/>
    <w:rsid w:val="00A12849"/>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6F15"/>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7694"/>
    <w:rsid w:val="00AC0C67"/>
    <w:rsid w:val="00AC0ECB"/>
    <w:rsid w:val="00AC0F47"/>
    <w:rsid w:val="00AC1EF9"/>
    <w:rsid w:val="00AC2D6C"/>
    <w:rsid w:val="00AC3EBA"/>
    <w:rsid w:val="00AC5A7B"/>
    <w:rsid w:val="00AC7108"/>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625E"/>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334D"/>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318B"/>
    <w:rsid w:val="00B84988"/>
    <w:rsid w:val="00B857BE"/>
    <w:rsid w:val="00B8584C"/>
    <w:rsid w:val="00B8669E"/>
    <w:rsid w:val="00B86E2B"/>
    <w:rsid w:val="00B8799F"/>
    <w:rsid w:val="00B90834"/>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7FBF"/>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1E7"/>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A76A6"/>
    <w:rsid w:val="00CB05CB"/>
    <w:rsid w:val="00CB144D"/>
    <w:rsid w:val="00CB166C"/>
    <w:rsid w:val="00CB1703"/>
    <w:rsid w:val="00CB1866"/>
    <w:rsid w:val="00CB1DA8"/>
    <w:rsid w:val="00CB282D"/>
    <w:rsid w:val="00CB44FD"/>
    <w:rsid w:val="00CB48BB"/>
    <w:rsid w:val="00CB4D4E"/>
    <w:rsid w:val="00CB5C01"/>
    <w:rsid w:val="00CB5F63"/>
    <w:rsid w:val="00CB6085"/>
    <w:rsid w:val="00CB6106"/>
    <w:rsid w:val="00CC06A2"/>
    <w:rsid w:val="00CC0720"/>
    <w:rsid w:val="00CC0A05"/>
    <w:rsid w:val="00CC4CB1"/>
    <w:rsid w:val="00CC5086"/>
    <w:rsid w:val="00CC59D4"/>
    <w:rsid w:val="00CC6138"/>
    <w:rsid w:val="00CC6643"/>
    <w:rsid w:val="00CC6C23"/>
    <w:rsid w:val="00CD128F"/>
    <w:rsid w:val="00CE0D19"/>
    <w:rsid w:val="00CE271C"/>
    <w:rsid w:val="00CE60BF"/>
    <w:rsid w:val="00CE6950"/>
    <w:rsid w:val="00CE6EAE"/>
    <w:rsid w:val="00CE7088"/>
    <w:rsid w:val="00CF2A8F"/>
    <w:rsid w:val="00CF30D2"/>
    <w:rsid w:val="00CF4C56"/>
    <w:rsid w:val="00CF6E0B"/>
    <w:rsid w:val="00CF7136"/>
    <w:rsid w:val="00D00B51"/>
    <w:rsid w:val="00D01A50"/>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2CCA"/>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3462"/>
    <w:rsid w:val="00E25268"/>
    <w:rsid w:val="00E30C23"/>
    <w:rsid w:val="00E3256E"/>
    <w:rsid w:val="00E33FE8"/>
    <w:rsid w:val="00E35AD5"/>
    <w:rsid w:val="00E36C1A"/>
    <w:rsid w:val="00E40567"/>
    <w:rsid w:val="00E40BAF"/>
    <w:rsid w:val="00E41650"/>
    <w:rsid w:val="00E41902"/>
    <w:rsid w:val="00E41FBC"/>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1873"/>
    <w:rsid w:val="00E726D8"/>
    <w:rsid w:val="00E731B2"/>
    <w:rsid w:val="00E745E8"/>
    <w:rsid w:val="00E775E1"/>
    <w:rsid w:val="00E805FB"/>
    <w:rsid w:val="00E83A9B"/>
    <w:rsid w:val="00E849E0"/>
    <w:rsid w:val="00E85478"/>
    <w:rsid w:val="00E85A7B"/>
    <w:rsid w:val="00E87278"/>
    <w:rsid w:val="00E90F96"/>
    <w:rsid w:val="00E91938"/>
    <w:rsid w:val="00E940DE"/>
    <w:rsid w:val="00E9461D"/>
    <w:rsid w:val="00E9582F"/>
    <w:rsid w:val="00EA316B"/>
    <w:rsid w:val="00EA53FD"/>
    <w:rsid w:val="00EA6245"/>
    <w:rsid w:val="00EA637B"/>
    <w:rsid w:val="00EB0AB1"/>
    <w:rsid w:val="00EB3E17"/>
    <w:rsid w:val="00EB4CB5"/>
    <w:rsid w:val="00EB7362"/>
    <w:rsid w:val="00EC0BFB"/>
    <w:rsid w:val="00EC2DC3"/>
    <w:rsid w:val="00EC3109"/>
    <w:rsid w:val="00EC3366"/>
    <w:rsid w:val="00EC3C44"/>
    <w:rsid w:val="00EC5916"/>
    <w:rsid w:val="00EC6778"/>
    <w:rsid w:val="00EC6A13"/>
    <w:rsid w:val="00ED1B72"/>
    <w:rsid w:val="00ED1E94"/>
    <w:rsid w:val="00ED37E5"/>
    <w:rsid w:val="00ED422F"/>
    <w:rsid w:val="00ED6B01"/>
    <w:rsid w:val="00EE0CB0"/>
    <w:rsid w:val="00EE0D6D"/>
    <w:rsid w:val="00EE0E05"/>
    <w:rsid w:val="00EE3D3A"/>
    <w:rsid w:val="00EE5AF8"/>
    <w:rsid w:val="00EE66E0"/>
    <w:rsid w:val="00EE7620"/>
    <w:rsid w:val="00EF257A"/>
    <w:rsid w:val="00EF3706"/>
    <w:rsid w:val="00EF6874"/>
    <w:rsid w:val="00EF6F87"/>
    <w:rsid w:val="00F00737"/>
    <w:rsid w:val="00F017B1"/>
    <w:rsid w:val="00F03753"/>
    <w:rsid w:val="00F03B50"/>
    <w:rsid w:val="00F054C9"/>
    <w:rsid w:val="00F05768"/>
    <w:rsid w:val="00F06C3F"/>
    <w:rsid w:val="00F075FC"/>
    <w:rsid w:val="00F1074F"/>
    <w:rsid w:val="00F10A6C"/>
    <w:rsid w:val="00F11DC3"/>
    <w:rsid w:val="00F11E31"/>
    <w:rsid w:val="00F12F1B"/>
    <w:rsid w:val="00F1449E"/>
    <w:rsid w:val="00F148C1"/>
    <w:rsid w:val="00F14D7B"/>
    <w:rsid w:val="00F202E0"/>
    <w:rsid w:val="00F203ED"/>
    <w:rsid w:val="00F21600"/>
    <w:rsid w:val="00F22360"/>
    <w:rsid w:val="00F22379"/>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67398"/>
    <w:rsid w:val="00F7026D"/>
    <w:rsid w:val="00F72DFC"/>
    <w:rsid w:val="00F73E96"/>
    <w:rsid w:val="00F74965"/>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2EE6"/>
    <w:rsid w:val="00FB456D"/>
    <w:rsid w:val="00FB610F"/>
    <w:rsid w:val="00FB6FA5"/>
    <w:rsid w:val="00FB74B9"/>
    <w:rsid w:val="00FC0D06"/>
    <w:rsid w:val="00FC10CF"/>
    <w:rsid w:val="00FC1911"/>
    <w:rsid w:val="00FC34D1"/>
    <w:rsid w:val="00FC3966"/>
    <w:rsid w:val="00FC4A5B"/>
    <w:rsid w:val="00FD0615"/>
    <w:rsid w:val="00FD1F84"/>
    <w:rsid w:val="00FD2639"/>
    <w:rsid w:val="00FD2B6C"/>
    <w:rsid w:val="00FD47B7"/>
    <w:rsid w:val="00FD5C92"/>
    <w:rsid w:val="00FD669E"/>
    <w:rsid w:val="00FD6A99"/>
    <w:rsid w:val="00FE2BC4"/>
    <w:rsid w:val="00FE541D"/>
    <w:rsid w:val="00FE6414"/>
    <w:rsid w:val="00FE7719"/>
    <w:rsid w:val="00FE7E29"/>
    <w:rsid w:val="00FF02EB"/>
    <w:rsid w:val="00FF1F53"/>
    <w:rsid w:val="00FF21A7"/>
    <w:rsid w:val="00FF2A67"/>
    <w:rsid w:val="00FF3A57"/>
    <w:rsid w:val="00FF4CE6"/>
    <w:rsid w:val="00FF5167"/>
    <w:rsid w:val="00FF568F"/>
    <w:rsid w:val="10D50F7D"/>
    <w:rsid w:val="12BE88D1"/>
    <w:rsid w:val="1B56F618"/>
    <w:rsid w:val="2167AF73"/>
    <w:rsid w:val="23AA8010"/>
    <w:rsid w:val="2E797DF7"/>
    <w:rsid w:val="45449CE6"/>
    <w:rsid w:val="66BC4FBA"/>
    <w:rsid w:val="6CEC3E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7C834"/>
  <w15:chartTrackingRefBased/>
  <w15:docId w15:val="{0843B3B4-985D-4E5E-B852-967450B9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694"/>
    <w:pPr>
      <w:overflowPunct w:val="0"/>
      <w:autoSpaceDE w:val="0"/>
      <w:autoSpaceDN w:val="0"/>
      <w:adjustRightInd w:val="0"/>
      <w:spacing w:after="180"/>
      <w:textAlignment w:val="baseline"/>
    </w:pPr>
    <w:rPr>
      <w:lang w:val="en-GB"/>
    </w:rPr>
  </w:style>
  <w:style w:type="paragraph" w:styleId="Heading1">
    <w:name w:val="heading 1"/>
    <w:aliases w:val="Char,H1,NMP Heading 1,h1,app heading 1,l1,Memo Heading 1,h11,h12,h13,h14,h15,h16,h17,h111,h121,h131,h141,h151,h161,h18,h112,h122,h132,h142,h152,h162,h19,h113,h123,h133,h143,h153,h163,1,Section of paper,Heading 1_a,Huvudrubrik,heading 1,Titre§"/>
    <w:link w:val="Heading1Char2"/>
    <w:uiPriority w:val="99"/>
    <w:qFormat/>
    <w:rsid w:val="0099493B"/>
    <w:pPr>
      <w:keepNext/>
      <w:tabs>
        <w:tab w:val="num" w:pos="851"/>
      </w:tabs>
      <w:autoSpaceDE w:val="0"/>
      <w:autoSpaceDN w:val="0"/>
      <w:adjustRightInd w:val="0"/>
      <w:spacing w:before="60" w:after="60"/>
      <w:ind w:left="851" w:hanging="851"/>
      <w:jc w:val="both"/>
      <w:outlineLvl w:val="0"/>
    </w:pPr>
    <w:rPr>
      <w:rFonts w:ascii="Arial" w:eastAsia="SimSun" w:hAnsi="Arial" w:cs="Arial"/>
      <w:color w:val="0000FF"/>
      <w:kern w:val="2"/>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uiPriority w:val="99"/>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numPr>
        <w:numId w:val="2"/>
      </w:numPr>
      <w:autoSpaceDE/>
      <w:autoSpaceDN/>
      <w:adjustRightInd/>
      <w:spacing w:after="120"/>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Char Char2,H1 Char3,NMP Heading 1 Char3,h1 Char3,app heading 1 Char3,l1 Char3,Memo Heading 1 Char3,h11 Char3,h12 Char3,h13 Char3,h14 Char3,h15 Char3,h16 Char3,h17 Char3,h111 Char3,h121 Char3,h131 Char3,h141 Char3,h151 Char3,h161 Char2"/>
    <w:link w:val="Heading1"/>
    <w:rsid w:val="0099493B"/>
    <w:rPr>
      <w:rFonts w:ascii="Arial" w:eastAsia="SimSun" w:hAnsi="Arial" w:cs="Arial"/>
      <w:color w:val="0000FF"/>
      <w:kern w:val="2"/>
      <w:lang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uiPriority w:val="99"/>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autoSpaceDE/>
      <w:autoSpaceDN/>
      <w:adjustRightInd/>
    </w:pPr>
    <w:rPr>
      <w: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autoSpaceDE/>
      <w:autoSpaceDN/>
      <w:adjustRightInd/>
      <w:spacing w:before="240"/>
      <w:ind w:left="1980" w:hanging="1980"/>
    </w:pPr>
    <w:rPr>
      <w:rFonts w:eastAsia="MS Mincho"/>
      <w:bCs/>
    </w:rPr>
  </w:style>
  <w:style w:type="paragraph" w:customStyle="1" w:styleId="StyleHeading6After9pt">
    <w:name w:val="Style Heading 6 + After:  9 pt"/>
    <w:basedOn w:val="Heading6"/>
    <w:uiPriority w:val="99"/>
    <w:rsid w:val="00675341"/>
    <w:pPr>
      <w:keepNext w:val="0"/>
      <w:autoSpaceDE/>
      <w:autoSpaceDN/>
      <w:adjustRightInd/>
      <w:spacing w:before="240"/>
      <w:ind w:left="0" w:firstLine="0"/>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spacing w:before="180"/>
      <w:outlineLvl w:val="1"/>
    </w:pPr>
    <w:rPr>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autoSpaceDE/>
      <w:autoSpaceDN/>
      <w:adjustRightInd/>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
    <w:name w:val="TOC 91"/>
    <w:basedOn w:val="TOC8"/>
    <w:uiPriority w:val="99"/>
    <w:rsid w:val="00EF3706"/>
    <w:pPr>
      <w:ind w:left="1418" w:hanging="1418"/>
    </w:pPr>
    <w:rPr>
      <w:rFonts w:eastAsia="MS Mincho"/>
      <w:lang w:eastAsia="ja-JP"/>
    </w:rPr>
  </w:style>
  <w:style w:type="paragraph" w:customStyle="1" w:styleId="Caption1">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0"/>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3">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spacing w:before="480" w:after="0" w:line="276" w:lineRule="auto"/>
      <w:ind w:left="0" w:firstLine="0"/>
      <w:outlineLvl w:val="9"/>
    </w:pPr>
    <w:rPr>
      <w:rFonts w:ascii="Cambria" w:hAnsi="Cambria"/>
      <w:b/>
      <w:bCs/>
      <w:color w:val="365F91"/>
      <w:sz w:val="28"/>
      <w:szCs w:val="28"/>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customStyle="1" w:styleId="tableoffigures0">
    <w:name w:val="table of figures0"/>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0">
    <w:name w:val="(文字) (文字)1 Char (文字) (文字)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0"/>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0"/>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0">
    <w:name w:val="(文字) (文字)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0">
    <w:name w:val="(文字) (文字)2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00">
    <w:name w:val="(文字) (文字)3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0">
    <w:name w:val="(文字) (文字)4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0">
    <w:name w:val="(文字) (文字)1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tabs>
        <w:tab w:val="num" w:pos="1100"/>
      </w:tabs>
      <w:spacing w:before="100" w:beforeAutospacing="1" w:afterLines="100" w:after="0"/>
      <w:ind w:left="930" w:hanging="510"/>
    </w:pPr>
    <w:rPr>
      <w:rFonts w:eastAsia="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ind w:left="0" w:firstLine="0"/>
    </w:pPr>
    <w:rPr>
      <w:b/>
      <w:noProof/>
      <w:color w:val="339966"/>
      <w:kern w:val="28"/>
      <w:sz w:val="28"/>
      <w:szCs w:val="28"/>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1"/>
    <w:rsid w:val="00EF3706"/>
    <w:rPr>
      <w:lang w:val="en-GB" w:eastAsia="ja-JP" w:bidi="ar-SA"/>
    </w:rPr>
  </w:style>
  <w:style w:type="character" w:customStyle="1" w:styleId="CharChar40">
    <w:name w:val="Char Char40"/>
    <w:rsid w:val="00EF3706"/>
    <w:rPr>
      <w:rFonts w:ascii="Courier New" w:hAnsi="Courier New" w:cs="Courier New" w:hint="default"/>
      <w:lang w:val="nb-NO" w:eastAsia="ja-JP" w:bidi="ar-SA"/>
    </w:rPr>
  </w:style>
  <w:style w:type="character" w:customStyle="1" w:styleId="CharChar70">
    <w:name w:val="Char Char70"/>
    <w:semiHidden/>
    <w:rsid w:val="00EF3706"/>
    <w:rPr>
      <w:rFonts w:ascii="Tahoma" w:hAnsi="Tahoma" w:cs="Tahoma" w:hint="default"/>
      <w:shd w:val="clear" w:color="auto" w:fill="000080"/>
      <w:lang w:val="en-GB" w:eastAsia="en-US"/>
    </w:rPr>
  </w:style>
  <w:style w:type="character" w:customStyle="1" w:styleId="ZchnZchn50">
    <w:name w:val="Zchn Zchn50"/>
    <w:rsid w:val="00EF3706"/>
    <w:rPr>
      <w:rFonts w:ascii="Courier New" w:eastAsia="Batang" w:hAnsi="Courier New" w:cs="Courier New" w:hint="default"/>
      <w:lang w:val="nb-NO" w:eastAsia="en-US" w:bidi="ar-SA"/>
    </w:rPr>
  </w:style>
  <w:style w:type="character" w:customStyle="1" w:styleId="CharChar100">
    <w:name w:val="Char Char100"/>
    <w:semiHidden/>
    <w:rsid w:val="00EF3706"/>
    <w:rPr>
      <w:rFonts w:ascii="Times New Roman" w:hAnsi="Times New Roman" w:cs="Times New Roman" w:hint="default"/>
      <w:lang w:val="en-GB" w:eastAsia="en-US"/>
    </w:rPr>
  </w:style>
  <w:style w:type="character" w:customStyle="1" w:styleId="CharChar90">
    <w:name w:val="Char Char90"/>
    <w:semiHidden/>
    <w:rsid w:val="00EF3706"/>
    <w:rPr>
      <w:rFonts w:ascii="Tahoma" w:hAnsi="Tahoma" w:cs="Tahoma" w:hint="default"/>
      <w:sz w:val="16"/>
      <w:szCs w:val="16"/>
      <w:lang w:val="en-GB" w:eastAsia="en-US"/>
    </w:rPr>
  </w:style>
  <w:style w:type="character" w:customStyle="1" w:styleId="CharChar80">
    <w:name w:val="Char Char80"/>
    <w:semiHidden/>
    <w:rsid w:val="00EF3706"/>
    <w:rPr>
      <w:rFonts w:ascii="Times New Roman" w:hAnsi="Times New Roman" w:cs="Times New Roman" w:hint="default"/>
      <w:b/>
      <w:bCs/>
      <w:lang w:val="en-GB" w:eastAsia="en-US"/>
    </w:rPr>
  </w:style>
  <w:style w:type="character" w:customStyle="1" w:styleId="CharChar290">
    <w:name w:val="Char Char290"/>
    <w:rsid w:val="00EF3706"/>
    <w:rPr>
      <w:rFonts w:ascii="Arial" w:hAnsi="Arial" w:cs="Arial" w:hint="default"/>
      <w:sz w:val="36"/>
      <w:lang w:val="en-GB" w:eastAsia="en-US" w:bidi="ar-SA"/>
    </w:rPr>
  </w:style>
  <w:style w:type="character" w:customStyle="1" w:styleId="CharChar280">
    <w:name w:val="Char Char280"/>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4">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7">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5">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F3706"/>
  </w:style>
  <w:style w:type="table" w:customStyle="1" w:styleId="23">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0"/>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7">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8">
    <w:name w:val="図表番号1"/>
    <w:basedOn w:val="Normal"/>
    <w:next w:val="Normal"/>
    <w:uiPriority w:val="99"/>
    <w:rsid w:val="00EF3706"/>
    <w:pPr>
      <w:spacing w:before="120" w:after="120"/>
    </w:pPr>
    <w:rPr>
      <w:rFonts w:eastAsia="MS Mincho"/>
      <w:b/>
      <w:lang w:eastAsia="en-GB"/>
    </w:rPr>
  </w:style>
  <w:style w:type="paragraph" w:customStyle="1" w:styleId="19">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a">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b">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4">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c">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e">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0">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1">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65481000">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87597">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9762468">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7838538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5AIRPNAIUNRU-1328258698-9958</_dlc_DocId>
    <_dlc_DocIdUrl xmlns="71c5aaf6-e6ce-465b-b873-5148d2a4c105">
      <Url>https://nokia.sharepoint.com/sites/c5g/5gradio/_layouts/15/DocIdRedir.aspx?ID=5AIRPNAIUNRU-1328258698-9958</Url>
      <Description>5AIRPNAIUNRU-1328258698-9958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823B6-359B-47F9-B7E6-F5779E8B3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190C9-86AC-416A-B6F0-4721C4D41E97}">
  <ds:schemaRefs>
    <ds:schemaRef ds:uri="http://schemas.microsoft.com/office/2006/metadata/longProperties"/>
  </ds:schemaRefs>
</ds:datastoreItem>
</file>

<file path=customXml/itemProps3.xml><?xml version="1.0" encoding="utf-8"?>
<ds:datastoreItem xmlns:ds="http://schemas.openxmlformats.org/officeDocument/2006/customXml" ds:itemID="{F93D4179-06A8-4CD2-A8B7-62415FC92F4F}">
  <ds:schemaRefs>
    <ds:schemaRef ds:uri="http://schemas.microsoft.com/sharepoint/events"/>
  </ds:schemaRefs>
</ds:datastoreItem>
</file>

<file path=customXml/itemProps4.xml><?xml version="1.0" encoding="utf-8"?>
<ds:datastoreItem xmlns:ds="http://schemas.openxmlformats.org/officeDocument/2006/customXml" ds:itemID="{020F130E-992F-45FE-8887-C15B780D0C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764B790-F3CA-46B9-ABC0-DA33C04B5BAA}">
  <ds:schemaRefs>
    <ds:schemaRef ds:uri="http://schemas.microsoft.com/sharepoint/v3/contenttype/forms"/>
  </ds:schemaRefs>
</ds:datastoreItem>
</file>

<file path=customXml/itemProps6.xml><?xml version="1.0" encoding="utf-8"?>
<ds:datastoreItem xmlns:ds="http://schemas.openxmlformats.org/officeDocument/2006/customXml" ds:itemID="{30D13BD2-1809-469F-A56F-753017353152}">
  <ds:schemaRefs>
    <ds:schemaRef ds:uri="http://schemas.openxmlformats.org/officeDocument/2006/bibliography"/>
  </ds:schemaRefs>
</ds:datastoreItem>
</file>

<file path=customXml/itemProps7.xml><?xml version="1.0" encoding="utf-8"?>
<ds:datastoreItem xmlns:ds="http://schemas.openxmlformats.org/officeDocument/2006/customXml" ds:itemID="{30942B2C-1975-4C80-859E-33552F9032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1589</Words>
  <Characters>9058</Characters>
  <Application>Microsoft Office Word</Application>
  <DocSecurity>0</DocSecurity>
  <Lines>75</Lines>
  <Paragraphs>21</Paragraphs>
  <ScaleCrop>false</ScaleCrop>
  <Company>ETSI-MCC</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23</cp:revision>
  <cp:lastPrinted>2013-03-23T08:57:00Z</cp:lastPrinted>
  <dcterms:created xsi:type="dcterms:W3CDTF">2022-02-10T10:14:00Z</dcterms:created>
  <dcterms:modified xsi:type="dcterms:W3CDTF">2022-02-14T21:36:00Z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5AIRPNAIUNRU-1328258698-9947</vt:lpwstr>
  </property>
  <property fmtid="{D5CDD505-2E9C-101B-9397-08002B2CF9AE}" pid="3" name="_dlc_DocIdItemGuid">
    <vt:lpwstr>89b97743-93f4-4623-ba7d-592f6625786f</vt:lpwstr>
  </property>
  <property fmtid="{D5CDD505-2E9C-101B-9397-08002B2CF9AE}" pid="4" name="_dlc_DocIdUrl">
    <vt:lpwstr>https://nokia.sharepoint.com/sites/c5g/5gradio/_layouts/15/DocIdRedir.aspx?ID=5AIRPNAIUNRU-1328258698-9947, 5AIRPNAIUNRU-1328258698-9947</vt:lpwstr>
  </property>
  <property fmtid="{D5CDD505-2E9C-101B-9397-08002B2CF9AE}" pid="5" name="ContentTypeId">
    <vt:lpwstr>0x01010000E5007003D3004E92B8EDD86D20E8CD</vt:lpwstr>
  </property>
</Properties>
</file>